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天津市养老服务事务中心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天津市养老服务事务中心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养老服务理论研究，参与全市老龄和养老服务相关调研论证、养老服务行业标准化研究工作；承担全市养老服务行业评估、检查、补贴发放等相关事务性工作；承担全市养老服务数据、信息的收集整理和政策咨询服务工作；承担市级养老服务智能平台日常管理；承担全市养老服务行业培训工作；完成市民政局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本部门内设2个职能科室；下辖0个预算单位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天津市养老服务事务中心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天津市养老服务事务中心（公益一类）</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257,734.86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246,337.71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11,408.44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11.29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257,746.15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257,746.15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257,746.15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257,746.15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257,746.15</w:t>
            </w:r>
          </w:p>
        </w:tc>
        <w:tc>
          <w:tcPr>
            <w:tcW w:w="1240" w:type="dxa"/>
            <w:tcBorders/>
            <w:vAlign w:val="center"/>
          </w:tcPr>
          <w:p>
            <w:pPr>
              <w:snapToGrid w:val="0"/>
              <w:jc w:val="right"/>
            </w:pPr>
            <w:r>
              <w:rPr>
                <w:rFonts w:ascii="宋体" w:eastAsia="宋体" w:hAnsi="宋体" w:cs="宋体"/>
                <w:b w:val="0"/>
                <w:i w:val="0"/>
                <w:color w:val="000000"/>
                <w:sz w:val="14"/>
              </w:rPr>
              <w:t xml:space="preserve">257,734.86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246,337.71</w:t>
            </w:r>
          </w:p>
        </w:tc>
        <w:tc>
          <w:tcPr>
            <w:tcW w:w="1240" w:type="dxa"/>
            <w:tcBorders/>
            <w:vAlign w:val="center"/>
          </w:tcPr>
          <w:p>
            <w:pPr>
              <w:snapToGrid w:val="0"/>
              <w:jc w:val="right"/>
            </w:pPr>
            <w:r>
              <w:rPr>
                <w:rFonts w:ascii="宋体" w:eastAsia="宋体" w:hAnsi="宋体" w:cs="宋体"/>
                <w:b w:val="0"/>
                <w:i w:val="0"/>
                <w:color w:val="000000"/>
                <w:sz w:val="14"/>
              </w:rPr>
              <w:t xml:space="preserve">246,326.42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218,952.78</w:t>
            </w:r>
          </w:p>
        </w:tc>
        <w:tc>
          <w:tcPr>
            <w:tcW w:w="1240" w:type="dxa"/>
            <w:tcBorders/>
            <w:vAlign w:val="center"/>
          </w:tcPr>
          <w:p>
            <w:pPr>
              <w:snapToGrid w:val="0"/>
              <w:jc w:val="right"/>
            </w:pPr>
            <w:r>
              <w:rPr>
                <w:rFonts w:ascii="宋体" w:eastAsia="宋体" w:hAnsi="宋体" w:cs="宋体"/>
                <w:b w:val="0"/>
                <w:i w:val="0"/>
                <w:color w:val="000000"/>
                <w:sz w:val="14"/>
              </w:rPr>
              <w:t xml:space="preserve">218,941.49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2080299</w:t>
            </w:r>
          </w:p>
        </w:tc>
        <w:tc>
          <w:tcPr>
            <w:tcW w:w="2520" w:type="dxa"/>
            <w:tcBorders/>
            <w:vAlign w:val="center"/>
          </w:tcPr>
          <w:p>
            <w:pPr>
              <w:snapToGrid w:val="0"/>
              <w:jc w:val="left"/>
            </w:pPr>
            <w:r>
              <w:rPr>
                <w:rFonts w:ascii="宋体" w:eastAsia="宋体" w:hAnsi="宋体" w:cs="宋体"/>
                <w:b w:val="0"/>
                <w:i w:val="0"/>
                <w:color w:val="000000"/>
                <w:sz w:val="14"/>
              </w:rPr>
              <w:t xml:space="preserve">其他民政管理事务支出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218,952.78</w:t>
            </w:r>
          </w:p>
        </w:tc>
        <w:tc>
          <w:tcPr>
            <w:tcW w:w="1240" w:type="dxa"/>
            <w:tcBorders/>
            <w:vAlign w:val="center"/>
          </w:tcPr>
          <w:p>
            <w:pPr>
              <w:snapToGrid w:val="0"/>
              <w:jc w:val="right"/>
            </w:pPr>
            <w:r>
              <w:rPr>
                <w:rFonts w:ascii="宋体" w:eastAsia="宋体" w:hAnsi="宋体" w:cs="宋体"/>
                <w:b w:val="0"/>
                <w:i w:val="0"/>
                <w:color w:val="000000"/>
                <w:sz w:val="14"/>
              </w:rPr>
              <w:t xml:space="preserve">218,941.49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27,384.93</w:t>
            </w:r>
          </w:p>
        </w:tc>
        <w:tc>
          <w:tcPr>
            <w:tcW w:w="1240" w:type="dxa"/>
            <w:tcBorders/>
            <w:vAlign w:val="center"/>
          </w:tcPr>
          <w:p>
            <w:pPr>
              <w:snapToGrid w:val="0"/>
              <w:jc w:val="right"/>
            </w:pPr>
            <w:r>
              <w:rPr>
                <w:rFonts w:ascii="宋体" w:eastAsia="宋体" w:hAnsi="宋体" w:cs="宋体"/>
                <w:b w:val="0"/>
                <w:i w:val="0"/>
                <w:color w:val="000000"/>
                <w:sz w:val="14"/>
              </w:rPr>
              <w:t xml:space="preserve">27,384.93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18,258.21</w:t>
            </w:r>
          </w:p>
        </w:tc>
        <w:tc>
          <w:tcPr>
            <w:tcW w:w="1240" w:type="dxa"/>
            <w:tcBorders/>
            <w:vAlign w:val="center"/>
          </w:tcPr>
          <w:p>
            <w:pPr>
              <w:snapToGrid w:val="0"/>
              <w:jc w:val="right"/>
            </w:pPr>
            <w:r>
              <w:rPr>
                <w:rFonts w:ascii="宋体" w:eastAsia="宋体" w:hAnsi="宋体" w:cs="宋体"/>
                <w:b w:val="0"/>
                <w:i w:val="0"/>
                <w:color w:val="000000"/>
                <w:sz w:val="14"/>
              </w:rPr>
              <w:t xml:space="preserve">18,258.21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9,126.72</w:t>
            </w:r>
          </w:p>
        </w:tc>
        <w:tc>
          <w:tcPr>
            <w:tcW w:w="1240" w:type="dxa"/>
            <w:tcBorders/>
            <w:vAlign w:val="center"/>
          </w:tcPr>
          <w:p>
            <w:pPr>
              <w:snapToGrid w:val="0"/>
              <w:jc w:val="right"/>
            </w:pPr>
            <w:r>
              <w:rPr>
                <w:rFonts w:ascii="宋体" w:eastAsia="宋体" w:hAnsi="宋体" w:cs="宋体"/>
                <w:b w:val="0"/>
                <w:i w:val="0"/>
                <w:color w:val="000000"/>
                <w:sz w:val="14"/>
              </w:rPr>
              <w:t xml:space="preserve">9,126.72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snapToGrid w:val="0"/>
              <w:jc w:val="right"/>
            </w:pPr>
            <w:r>
              <w:rPr>
                <w:rFonts w:ascii="宋体" w:eastAsia="宋体" w:hAnsi="宋体" w:cs="宋体"/>
                <w:b w:val="0"/>
                <w:i w:val="0"/>
                <w:color w:val="000000"/>
                <w:sz w:val="14"/>
              </w:rPr>
              <w:t xml:space="preserve">11,408.44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257,734.86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354226</w:t>
            </w:r>
          </w:p>
        </w:tc>
        <w:tc>
          <w:tcPr>
            <w:tcW w:w="1520" w:type="dxa"/>
            <w:tcBorders/>
            <w:vAlign w:val="center"/>
          </w:tcPr>
          <w:p>
            <w:pPr>
              <w:snapToGrid w:val="0"/>
              <w:jc w:val="center"/>
            </w:pPr>
            <w:r>
              <w:rPr>
                <w:rFonts w:ascii="宋体" w:eastAsia="宋体" w:hAnsi="宋体" w:cs="宋体"/>
                <w:b w:val="0"/>
                <w:i w:val="0"/>
                <w:color w:val="000000"/>
                <w:sz w:val="9"/>
              </w:rPr>
              <w:t xml:space="preserve">天津市养老服务事务中心</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257,746.15</w:t>
            </w:r>
          </w:p>
        </w:tc>
        <w:tc>
          <w:tcPr>
            <w:tcW w:w="580" w:type="dxa"/>
            <w:tcBorders/>
            <w:vAlign w:val="center"/>
          </w:tcPr>
          <w:p>
            <w:pPr>
              <w:snapToGrid w:val="0"/>
              <w:jc w:val="right"/>
            </w:pPr>
            <w:r>
              <w:rPr>
                <w:rFonts w:ascii="宋体" w:eastAsia="宋体" w:hAnsi="宋体" w:cs="宋体"/>
                <w:b w:val="0"/>
                <w:i w:val="0"/>
                <w:color w:val="000000"/>
                <w:sz w:val="9"/>
              </w:rPr>
              <w:t xml:space="preserve">257,734.86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257,746.15</w:t>
            </w:r>
          </w:p>
        </w:tc>
        <w:tc>
          <w:tcPr>
            <w:tcW w:w="1320" w:type="dxa"/>
            <w:tcBorders/>
            <w:vAlign w:val="center"/>
          </w:tcPr>
          <w:p>
            <w:pPr>
              <w:snapToGrid w:val="0"/>
              <w:jc w:val="right"/>
            </w:pPr>
            <w:r>
              <w:rPr>
                <w:rFonts w:ascii="宋体" w:eastAsia="宋体" w:hAnsi="宋体" w:cs="宋体"/>
                <w:b w:val="0"/>
                <w:i w:val="0"/>
                <w:color w:val="000000"/>
                <w:sz w:val="15"/>
              </w:rPr>
              <w:t xml:space="preserve">257,746.15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246,337.71</w:t>
            </w:r>
          </w:p>
        </w:tc>
        <w:tc>
          <w:tcPr>
            <w:tcW w:w="1320" w:type="dxa"/>
            <w:tcBorders/>
            <w:vAlign w:val="center"/>
          </w:tcPr>
          <w:p>
            <w:pPr>
              <w:snapToGrid w:val="0"/>
              <w:jc w:val="right"/>
            </w:pPr>
            <w:r>
              <w:rPr>
                <w:rFonts w:ascii="宋体" w:eastAsia="宋体" w:hAnsi="宋体" w:cs="宋体"/>
                <w:b w:val="0"/>
                <w:i w:val="0"/>
                <w:color w:val="000000"/>
                <w:sz w:val="15"/>
              </w:rPr>
              <w:t xml:space="preserve">246,337.71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218,952.78</w:t>
            </w:r>
          </w:p>
        </w:tc>
        <w:tc>
          <w:tcPr>
            <w:tcW w:w="1320" w:type="dxa"/>
            <w:tcBorders/>
            <w:vAlign w:val="center"/>
          </w:tcPr>
          <w:p>
            <w:pPr>
              <w:snapToGrid w:val="0"/>
              <w:jc w:val="right"/>
            </w:pPr>
            <w:r>
              <w:rPr>
                <w:rFonts w:ascii="宋体" w:eastAsia="宋体" w:hAnsi="宋体" w:cs="宋体"/>
                <w:b w:val="0"/>
                <w:i w:val="0"/>
                <w:color w:val="000000"/>
                <w:sz w:val="15"/>
              </w:rPr>
              <w:t xml:space="preserve">218,952.78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2080299</w:t>
            </w:r>
          </w:p>
        </w:tc>
        <w:tc>
          <w:tcPr>
            <w:tcW w:w="4400" w:type="dxa"/>
            <w:tcBorders/>
            <w:vAlign w:val="center"/>
          </w:tcPr>
          <w:p>
            <w:pPr>
              <w:snapToGrid w:val="0"/>
              <w:jc w:val="left"/>
            </w:pPr>
            <w:r>
              <w:rPr>
                <w:rFonts w:ascii="宋体" w:eastAsia="宋体" w:hAnsi="宋体" w:cs="宋体"/>
                <w:b w:val="0"/>
                <w:i w:val="0"/>
                <w:color w:val="000000"/>
                <w:sz w:val="15"/>
              </w:rPr>
              <w:t xml:space="preserve">其他民政管理事务支出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218,952.78</w:t>
            </w:r>
          </w:p>
        </w:tc>
        <w:tc>
          <w:tcPr>
            <w:tcW w:w="1320" w:type="dxa"/>
            <w:tcBorders/>
            <w:vAlign w:val="center"/>
          </w:tcPr>
          <w:p>
            <w:pPr>
              <w:snapToGrid w:val="0"/>
              <w:jc w:val="right"/>
            </w:pPr>
            <w:r>
              <w:rPr>
                <w:rFonts w:ascii="宋体" w:eastAsia="宋体" w:hAnsi="宋体" w:cs="宋体"/>
                <w:b w:val="0"/>
                <w:i w:val="0"/>
                <w:color w:val="000000"/>
                <w:sz w:val="15"/>
              </w:rPr>
              <w:t xml:space="preserve">218,952.78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27,384.93</w:t>
            </w:r>
          </w:p>
        </w:tc>
        <w:tc>
          <w:tcPr>
            <w:tcW w:w="1320" w:type="dxa"/>
            <w:tcBorders/>
            <w:vAlign w:val="center"/>
          </w:tcPr>
          <w:p>
            <w:pPr>
              <w:snapToGrid w:val="0"/>
              <w:jc w:val="right"/>
            </w:pPr>
            <w:r>
              <w:rPr>
                <w:rFonts w:ascii="宋体" w:eastAsia="宋体" w:hAnsi="宋体" w:cs="宋体"/>
                <w:b w:val="0"/>
                <w:i w:val="0"/>
                <w:color w:val="000000"/>
                <w:sz w:val="15"/>
              </w:rPr>
              <w:t xml:space="preserve">27,384.93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18,258.21</w:t>
            </w:r>
          </w:p>
        </w:tc>
        <w:tc>
          <w:tcPr>
            <w:tcW w:w="1320" w:type="dxa"/>
            <w:tcBorders/>
            <w:vAlign w:val="center"/>
          </w:tcPr>
          <w:p>
            <w:pPr>
              <w:snapToGrid w:val="0"/>
              <w:jc w:val="right"/>
            </w:pPr>
            <w:r>
              <w:rPr>
                <w:rFonts w:ascii="宋体" w:eastAsia="宋体" w:hAnsi="宋体" w:cs="宋体"/>
                <w:b w:val="0"/>
                <w:i w:val="0"/>
                <w:color w:val="000000"/>
                <w:sz w:val="15"/>
              </w:rPr>
              <w:t xml:space="preserve">18,258.21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9,126.72</w:t>
            </w:r>
          </w:p>
        </w:tc>
        <w:tc>
          <w:tcPr>
            <w:tcW w:w="1320" w:type="dxa"/>
            <w:tcBorders/>
            <w:vAlign w:val="center"/>
          </w:tcPr>
          <w:p>
            <w:pPr>
              <w:snapToGrid w:val="0"/>
              <w:jc w:val="right"/>
            </w:pPr>
            <w:r>
              <w:rPr>
                <w:rFonts w:ascii="宋体" w:eastAsia="宋体" w:hAnsi="宋体" w:cs="宋体"/>
                <w:b w:val="0"/>
                <w:i w:val="0"/>
                <w:color w:val="000000"/>
                <w:sz w:val="15"/>
              </w:rPr>
              <w:t xml:space="preserve">9,126.72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snapToGrid w:val="0"/>
              <w:jc w:val="right"/>
            </w:pPr>
            <w:r>
              <w:rPr>
                <w:rFonts w:ascii="宋体" w:eastAsia="宋体" w:hAnsi="宋体" w:cs="宋体"/>
                <w:b w:val="0"/>
                <w:i w:val="0"/>
                <w:color w:val="000000"/>
                <w:sz w:val="15"/>
              </w:rPr>
              <w:t xml:space="preserve">11,408.44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246,326.42</w:t>
            </w:r>
          </w:p>
        </w:tc>
        <w:tc>
          <w:tcPr>
            <w:tcW w:w="1420" w:type="dxa"/>
            <w:tcBorders/>
            <w:vAlign w:val="center"/>
          </w:tcPr>
          <w:p>
            <w:pPr>
              <w:snapToGrid w:val="0"/>
              <w:jc w:val="right"/>
            </w:pPr>
            <w:r>
              <w:rPr>
                <w:rFonts w:ascii="宋体" w:eastAsia="宋体" w:hAnsi="宋体" w:cs="宋体"/>
                <w:b w:val="0"/>
                <w:i w:val="0"/>
                <w:color w:val="000000"/>
                <w:sz w:val="16"/>
              </w:rPr>
              <w:t xml:space="preserve">246,326.42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11,408.44</w:t>
            </w:r>
          </w:p>
        </w:tc>
        <w:tc>
          <w:tcPr>
            <w:tcW w:w="1420" w:type="dxa"/>
            <w:tcBorders/>
            <w:vAlign w:val="center"/>
          </w:tcPr>
          <w:p>
            <w:pPr>
              <w:snapToGrid w:val="0"/>
              <w:jc w:val="right"/>
            </w:pPr>
            <w:r>
              <w:rPr>
                <w:rFonts w:ascii="宋体" w:eastAsia="宋体" w:hAnsi="宋体" w:cs="宋体"/>
                <w:b w:val="0"/>
                <w:i w:val="0"/>
                <w:color w:val="000000"/>
                <w:sz w:val="16"/>
              </w:rPr>
              <w:t xml:space="preserve">11,408.44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1420" w:type="dxa"/>
            <w:tcBorders/>
            <w:vAlign w:val="center"/>
          </w:tcPr>
          <w:p>
            <w:pPr>
              <w:snapToGrid w:val="0"/>
              <w:jc w:val="right"/>
            </w:pPr>
            <w:r>
              <w:rPr>
                <w:rFonts w:ascii="宋体" w:eastAsia="宋体" w:hAnsi="宋体" w:cs="宋体"/>
                <w:b w:val="0"/>
                <w:i w:val="0"/>
                <w:color w:val="000000"/>
                <w:sz w:val="16"/>
              </w:rPr>
              <w:t xml:space="preserve">257,734.86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257,734.86</w:t>
            </w:r>
          </w:p>
        </w:tc>
        <w:tc>
          <w:tcPr>
            <w:tcW w:w="1720" w:type="dxa"/>
            <w:tcBorders/>
            <w:vAlign w:val="center"/>
          </w:tcPr>
          <w:p>
            <w:pPr>
              <w:snapToGrid w:val="0"/>
              <w:jc w:val="right"/>
            </w:pPr>
            <w:r>
              <w:rPr>
                <w:rFonts w:ascii="宋体" w:eastAsia="宋体" w:hAnsi="宋体" w:cs="宋体"/>
                <w:b w:val="0"/>
                <w:i w:val="0"/>
                <w:color w:val="000000"/>
                <w:sz w:val="20"/>
              </w:rPr>
              <w:t xml:space="preserve">257,734.86</w:t>
            </w:r>
          </w:p>
        </w:tc>
        <w:tc>
          <w:tcPr>
            <w:tcW w:w="1720" w:type="dxa"/>
            <w:tcBorders/>
            <w:vAlign w:val="center"/>
          </w:tcPr>
          <w:p>
            <w:pPr>
              <w:snapToGrid w:val="0"/>
              <w:jc w:val="right"/>
            </w:pPr>
            <w:r>
              <w:rPr>
                <w:rFonts w:ascii="宋体" w:eastAsia="宋体" w:hAnsi="宋体" w:cs="宋体"/>
                <w:b w:val="0"/>
                <w:i w:val="0"/>
                <w:color w:val="000000"/>
                <w:sz w:val="20"/>
              </w:rPr>
              <w:t xml:space="preserve">244,982.67</w:t>
            </w:r>
          </w:p>
        </w:tc>
        <w:tc>
          <w:tcPr>
            <w:tcW w:w="1720" w:type="dxa"/>
            <w:tcBorders/>
            <w:vAlign w:val="center"/>
          </w:tcPr>
          <w:p>
            <w:pPr>
              <w:snapToGrid w:val="0"/>
              <w:jc w:val="right"/>
            </w:pPr>
            <w:r>
              <w:rPr>
                <w:rFonts w:ascii="宋体" w:eastAsia="宋体" w:hAnsi="宋体" w:cs="宋体"/>
                <w:b w:val="0"/>
                <w:i w:val="0"/>
                <w:color w:val="000000"/>
                <w:sz w:val="20"/>
              </w:rPr>
              <w:t xml:space="preserve">12,752.19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246,326.42</w:t>
            </w:r>
          </w:p>
        </w:tc>
        <w:tc>
          <w:tcPr>
            <w:tcW w:w="1720" w:type="dxa"/>
            <w:tcBorders/>
            <w:vAlign w:val="center"/>
          </w:tcPr>
          <w:p>
            <w:pPr>
              <w:snapToGrid w:val="0"/>
              <w:jc w:val="right"/>
            </w:pPr>
            <w:r>
              <w:rPr>
                <w:rFonts w:ascii="宋体" w:eastAsia="宋体" w:hAnsi="宋体" w:cs="宋体"/>
                <w:b w:val="0"/>
                <w:i w:val="0"/>
                <w:color w:val="000000"/>
                <w:sz w:val="20"/>
              </w:rPr>
              <w:t xml:space="preserve">246,326.42</w:t>
            </w:r>
          </w:p>
        </w:tc>
        <w:tc>
          <w:tcPr>
            <w:tcW w:w="1720" w:type="dxa"/>
            <w:tcBorders/>
            <w:vAlign w:val="center"/>
          </w:tcPr>
          <w:p>
            <w:pPr>
              <w:snapToGrid w:val="0"/>
              <w:jc w:val="right"/>
            </w:pPr>
            <w:r>
              <w:rPr>
                <w:rFonts w:ascii="宋体" w:eastAsia="宋体" w:hAnsi="宋体" w:cs="宋体"/>
                <w:b w:val="0"/>
                <w:i w:val="0"/>
                <w:color w:val="000000"/>
                <w:sz w:val="20"/>
              </w:rPr>
              <w:t xml:space="preserve">233,574.23</w:t>
            </w:r>
          </w:p>
        </w:tc>
        <w:tc>
          <w:tcPr>
            <w:tcW w:w="1720" w:type="dxa"/>
            <w:tcBorders/>
            <w:vAlign w:val="center"/>
          </w:tcPr>
          <w:p>
            <w:pPr>
              <w:snapToGrid w:val="0"/>
              <w:jc w:val="right"/>
            </w:pPr>
            <w:r>
              <w:rPr>
                <w:rFonts w:ascii="宋体" w:eastAsia="宋体" w:hAnsi="宋体" w:cs="宋体"/>
                <w:b w:val="0"/>
                <w:i w:val="0"/>
                <w:color w:val="000000"/>
                <w:sz w:val="20"/>
              </w:rPr>
              <w:t xml:space="preserve">12,752.19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w:t>
            </w:r>
          </w:p>
        </w:tc>
        <w:tc>
          <w:tcPr>
            <w:tcW w:w="3480" w:type="dxa"/>
            <w:tcBorders/>
            <w:vAlign w:val="center"/>
          </w:tcPr>
          <w:p>
            <w:pPr>
              <w:snapToGrid w:val="0"/>
              <w:jc w:val="left"/>
            </w:pPr>
            <w:r>
              <w:rPr>
                <w:rFonts w:ascii="宋体" w:eastAsia="宋体" w:hAnsi="宋体" w:cs="宋体"/>
                <w:b w:val="0"/>
                <w:i w:val="0"/>
                <w:color w:val="000000"/>
                <w:sz w:val="20"/>
              </w:rPr>
              <w:t xml:space="preserve">民政管理事务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218,941.49</w:t>
            </w:r>
          </w:p>
        </w:tc>
        <w:tc>
          <w:tcPr>
            <w:tcW w:w="1720" w:type="dxa"/>
            <w:tcBorders/>
            <w:vAlign w:val="center"/>
          </w:tcPr>
          <w:p>
            <w:pPr>
              <w:snapToGrid w:val="0"/>
              <w:jc w:val="right"/>
            </w:pPr>
            <w:r>
              <w:rPr>
                <w:rFonts w:ascii="宋体" w:eastAsia="宋体" w:hAnsi="宋体" w:cs="宋体"/>
                <w:b w:val="0"/>
                <w:i w:val="0"/>
                <w:color w:val="000000"/>
                <w:sz w:val="20"/>
              </w:rPr>
              <w:t xml:space="preserve">218,941.49</w:t>
            </w:r>
          </w:p>
        </w:tc>
        <w:tc>
          <w:tcPr>
            <w:tcW w:w="1720" w:type="dxa"/>
            <w:tcBorders/>
            <w:vAlign w:val="center"/>
          </w:tcPr>
          <w:p>
            <w:pPr>
              <w:snapToGrid w:val="0"/>
              <w:jc w:val="right"/>
            </w:pPr>
            <w:r>
              <w:rPr>
                <w:rFonts w:ascii="宋体" w:eastAsia="宋体" w:hAnsi="宋体" w:cs="宋体"/>
                <w:b w:val="0"/>
                <w:i w:val="0"/>
                <w:color w:val="000000"/>
                <w:sz w:val="20"/>
              </w:rPr>
              <w:t xml:space="preserve">206,189.30</w:t>
            </w:r>
          </w:p>
        </w:tc>
        <w:tc>
          <w:tcPr>
            <w:tcW w:w="1720" w:type="dxa"/>
            <w:tcBorders/>
            <w:vAlign w:val="center"/>
          </w:tcPr>
          <w:p>
            <w:pPr>
              <w:snapToGrid w:val="0"/>
              <w:jc w:val="right"/>
            </w:pPr>
            <w:r>
              <w:rPr>
                <w:rFonts w:ascii="宋体" w:eastAsia="宋体" w:hAnsi="宋体" w:cs="宋体"/>
                <w:b w:val="0"/>
                <w:i w:val="0"/>
                <w:color w:val="000000"/>
                <w:sz w:val="20"/>
              </w:rPr>
              <w:t xml:space="preserve">12,752.19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2080299</w:t>
            </w:r>
          </w:p>
        </w:tc>
        <w:tc>
          <w:tcPr>
            <w:tcW w:w="3480" w:type="dxa"/>
            <w:tcBorders/>
            <w:vAlign w:val="center"/>
          </w:tcPr>
          <w:p>
            <w:pPr>
              <w:snapToGrid w:val="0"/>
              <w:jc w:val="left"/>
            </w:pPr>
            <w:r>
              <w:rPr>
                <w:rFonts w:ascii="宋体" w:eastAsia="宋体" w:hAnsi="宋体" w:cs="宋体"/>
                <w:b w:val="0"/>
                <w:i w:val="0"/>
                <w:color w:val="000000"/>
                <w:sz w:val="20"/>
              </w:rPr>
              <w:t xml:space="preserve">其他民政管理事务支出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218,941.49</w:t>
            </w:r>
          </w:p>
        </w:tc>
        <w:tc>
          <w:tcPr>
            <w:tcW w:w="1720" w:type="dxa"/>
            <w:tcBorders/>
            <w:vAlign w:val="center"/>
          </w:tcPr>
          <w:p>
            <w:pPr>
              <w:snapToGrid w:val="0"/>
              <w:jc w:val="right"/>
            </w:pPr>
            <w:r>
              <w:rPr>
                <w:rFonts w:ascii="宋体" w:eastAsia="宋体" w:hAnsi="宋体" w:cs="宋体"/>
                <w:b w:val="0"/>
                <w:i w:val="0"/>
                <w:color w:val="000000"/>
                <w:sz w:val="20"/>
              </w:rPr>
              <w:t xml:space="preserve">218,941.49</w:t>
            </w:r>
          </w:p>
        </w:tc>
        <w:tc>
          <w:tcPr>
            <w:tcW w:w="1720" w:type="dxa"/>
            <w:tcBorders/>
            <w:vAlign w:val="center"/>
          </w:tcPr>
          <w:p>
            <w:pPr>
              <w:snapToGrid w:val="0"/>
              <w:jc w:val="right"/>
            </w:pPr>
            <w:r>
              <w:rPr>
                <w:rFonts w:ascii="宋体" w:eastAsia="宋体" w:hAnsi="宋体" w:cs="宋体"/>
                <w:b w:val="0"/>
                <w:i w:val="0"/>
                <w:color w:val="000000"/>
                <w:sz w:val="20"/>
              </w:rPr>
              <w:t xml:space="preserve">206,189.30</w:t>
            </w:r>
          </w:p>
        </w:tc>
        <w:tc>
          <w:tcPr>
            <w:tcW w:w="1720" w:type="dxa"/>
            <w:tcBorders/>
            <w:vAlign w:val="center"/>
          </w:tcPr>
          <w:p>
            <w:pPr>
              <w:snapToGrid w:val="0"/>
              <w:jc w:val="right"/>
            </w:pPr>
            <w:r>
              <w:rPr>
                <w:rFonts w:ascii="宋体" w:eastAsia="宋体" w:hAnsi="宋体" w:cs="宋体"/>
                <w:b w:val="0"/>
                <w:i w:val="0"/>
                <w:color w:val="000000"/>
                <w:sz w:val="20"/>
              </w:rPr>
              <w:t xml:space="preserve">12,752.19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27,384.93</w:t>
            </w:r>
          </w:p>
        </w:tc>
        <w:tc>
          <w:tcPr>
            <w:tcW w:w="1720" w:type="dxa"/>
            <w:tcBorders/>
            <w:vAlign w:val="center"/>
          </w:tcPr>
          <w:p>
            <w:pPr>
              <w:snapToGrid w:val="0"/>
              <w:jc w:val="right"/>
            </w:pPr>
            <w:r>
              <w:rPr>
                <w:rFonts w:ascii="宋体" w:eastAsia="宋体" w:hAnsi="宋体" w:cs="宋体"/>
                <w:b w:val="0"/>
                <w:i w:val="0"/>
                <w:color w:val="000000"/>
                <w:sz w:val="20"/>
              </w:rPr>
              <w:t xml:space="preserve">27,384.93</w:t>
            </w:r>
          </w:p>
        </w:tc>
        <w:tc>
          <w:tcPr>
            <w:tcW w:w="1720" w:type="dxa"/>
            <w:tcBorders/>
            <w:vAlign w:val="center"/>
          </w:tcPr>
          <w:p>
            <w:pPr>
              <w:snapToGrid w:val="0"/>
              <w:jc w:val="right"/>
            </w:pPr>
            <w:r>
              <w:rPr>
                <w:rFonts w:ascii="宋体" w:eastAsia="宋体" w:hAnsi="宋体" w:cs="宋体"/>
                <w:b w:val="0"/>
                <w:i w:val="0"/>
                <w:color w:val="000000"/>
                <w:sz w:val="20"/>
              </w:rPr>
              <w:t xml:space="preserve">27,384.93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18,258.21</w:t>
            </w:r>
          </w:p>
        </w:tc>
        <w:tc>
          <w:tcPr>
            <w:tcW w:w="1720" w:type="dxa"/>
            <w:tcBorders/>
            <w:vAlign w:val="center"/>
          </w:tcPr>
          <w:p>
            <w:pPr>
              <w:snapToGrid w:val="0"/>
              <w:jc w:val="right"/>
            </w:pPr>
            <w:r>
              <w:rPr>
                <w:rFonts w:ascii="宋体" w:eastAsia="宋体" w:hAnsi="宋体" w:cs="宋体"/>
                <w:b w:val="0"/>
                <w:i w:val="0"/>
                <w:color w:val="000000"/>
                <w:sz w:val="20"/>
              </w:rPr>
              <w:t xml:space="preserve">18,258.21</w:t>
            </w:r>
          </w:p>
        </w:tc>
        <w:tc>
          <w:tcPr>
            <w:tcW w:w="1720" w:type="dxa"/>
            <w:tcBorders/>
            <w:vAlign w:val="center"/>
          </w:tcPr>
          <w:p>
            <w:pPr>
              <w:snapToGrid w:val="0"/>
              <w:jc w:val="right"/>
            </w:pPr>
            <w:r>
              <w:rPr>
                <w:rFonts w:ascii="宋体" w:eastAsia="宋体" w:hAnsi="宋体" w:cs="宋体"/>
                <w:b w:val="0"/>
                <w:i w:val="0"/>
                <w:color w:val="000000"/>
                <w:sz w:val="20"/>
              </w:rPr>
              <w:t xml:space="preserve">18,258.21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9,126.72</w:t>
            </w:r>
          </w:p>
        </w:tc>
        <w:tc>
          <w:tcPr>
            <w:tcW w:w="1720" w:type="dxa"/>
            <w:tcBorders/>
            <w:vAlign w:val="center"/>
          </w:tcPr>
          <w:p>
            <w:pPr>
              <w:snapToGrid w:val="0"/>
              <w:jc w:val="right"/>
            </w:pPr>
            <w:r>
              <w:rPr>
                <w:rFonts w:ascii="宋体" w:eastAsia="宋体" w:hAnsi="宋体" w:cs="宋体"/>
                <w:b w:val="0"/>
                <w:i w:val="0"/>
                <w:color w:val="000000"/>
                <w:sz w:val="20"/>
              </w:rPr>
              <w:t xml:space="preserve">9,126.72</w:t>
            </w:r>
          </w:p>
        </w:tc>
        <w:tc>
          <w:tcPr>
            <w:tcW w:w="1720" w:type="dxa"/>
            <w:tcBorders/>
            <w:vAlign w:val="center"/>
          </w:tcPr>
          <w:p>
            <w:pPr>
              <w:snapToGrid w:val="0"/>
              <w:jc w:val="right"/>
            </w:pPr>
            <w:r>
              <w:rPr>
                <w:rFonts w:ascii="宋体" w:eastAsia="宋体" w:hAnsi="宋体" w:cs="宋体"/>
                <w:b w:val="0"/>
                <w:i w:val="0"/>
                <w:color w:val="000000"/>
                <w:sz w:val="20"/>
              </w:rPr>
              <w:t xml:space="preserve">9,126.72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snapToGrid w:val="0"/>
              <w:jc w:val="right"/>
            </w:pPr>
            <w:r>
              <w:rPr>
                <w:rFonts w:ascii="宋体" w:eastAsia="宋体" w:hAnsi="宋体" w:cs="宋体"/>
                <w:b w:val="0"/>
                <w:i w:val="0"/>
                <w:color w:val="000000"/>
                <w:sz w:val="20"/>
              </w:rPr>
              <w:t xml:space="preserve">11,408.44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244,962.67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12,752.19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50,243.98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28,498.70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820.00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64,720.00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18,258.21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9,126.72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10,838.02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1,369.04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61,908.00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4,400.00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343.03</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7,189.16</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244,982.67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12,752.19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天津市养老服务事务中心2024年度政府性基金预算财政拨款收入支出决算表为空表。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天津市养老服务事务中心2024年国有资本经营预算财政拨款收入支出决算表为空表。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天津市养老服务事务中心2024年财政拨款“三公”经费支出决算表为空表。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单位：天津市养老服务事务中心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天津市养老服务事务中心2024年项目支出决算表为空表。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576593978"/>
      <w:bookmarkStart w:id="47" w:name="_Toc429281603"/>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天津市养老服务事务中心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257,746.15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增加257,746.15元</w:t>
      </w:r>
      <w:r>
        <w:rPr>
          <w:rFonts w:eastAsia="仿宋_GB2312" w:hint="eastAsia"/>
          <w:sz w:val="30"/>
          <w:szCs w:val="30"/>
        </w:rPr>
        <w:t xml:space="preserve">，主要原因是</w:t>
      </w:r>
      <w:r>
        <w:rPr>
          <w:rFonts w:eastAsia="仿宋_GB2312" w:hint="eastAsia"/>
          <w:sz w:val="30"/>
          <w:szCs w:val="30"/>
        </w:rPr>
        <w:t xml:space="preserve">我单位为2024年度新成立的单位</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一般公共预算财政拨款收入257,734.86元、其他收入11.29元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社会保障和就业支出246,337.71元、卫生健康支出11,408.44元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天津市养老服务事务中心</w:t>
      </w:r>
      <w:r>
        <w:rPr>
          <w:rFonts w:eastAsia="仿宋_GB2312" w:hint="eastAsia"/>
          <w:sz w:val="30"/>
          <w:szCs w:val="30"/>
        </w:rPr>
        <w:t xml:space="preserve">2024年度本年收入合计</w:t>
      </w:r>
      <w:r>
        <w:rPr>
          <w:rFonts w:eastAsia="仿宋_GB2312" w:hint="eastAsia"/>
          <w:sz w:val="30"/>
          <w:szCs w:val="30"/>
        </w:rPr>
        <w:t xml:space="preserve">257,746.15</w:t>
      </w:r>
      <w:r>
        <w:rPr>
          <w:rFonts w:eastAsia="仿宋_GB2312" w:hint="eastAsia"/>
          <w:sz w:val="30"/>
          <w:szCs w:val="30"/>
        </w:rPr>
        <w:t xml:space="preserve">元，与2023年度相比</w:t>
      </w:r>
      <w:r>
        <w:rPr>
          <w:rFonts w:eastAsia="仿宋_GB2312" w:hint="eastAsia"/>
          <w:sz w:val="30"/>
          <w:szCs w:val="30"/>
        </w:rPr>
        <w:t xml:space="preserve">增加257,746.15元，</w:t>
      </w:r>
      <w:r>
        <w:rPr>
          <w:rFonts w:eastAsia="仿宋_GB2312" w:hint="eastAsia"/>
          <w:sz w:val="30"/>
          <w:szCs w:val="30"/>
        </w:rPr>
        <w:t xml:space="preserve">主要原因是</w:t>
      </w:r>
      <w:r>
        <w:rPr>
          <w:rFonts w:eastAsia="仿宋_GB2312" w:hint="eastAsia"/>
          <w:sz w:val="30"/>
          <w:szCs w:val="30"/>
        </w:rPr>
        <w:t xml:space="preserve">我单位为2024年度新成立的单位</w:t>
      </w:r>
      <w:r>
        <w:rPr>
          <w:rFonts w:eastAsia="仿宋_GB2312" w:hint="eastAsia"/>
          <w:sz w:val="30"/>
          <w:szCs w:val="30"/>
        </w:rPr>
        <w:t xml:space="preserve">。其中：</w:t>
      </w:r>
      <w:r>
        <w:rPr>
          <w:rFonts w:eastAsia="仿宋_GB2312" w:hint="eastAsia"/>
          <w:sz w:val="30"/>
          <w:szCs w:val="30"/>
        </w:rPr>
        <w:t xml:space="preserve">一般公共预算财政拨款收入257,734.86元，占99.996%；其他收入11.29元，占0.004%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天津市养老服务事务中心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257,746.15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增加257,746.15元，</w:t>
      </w:r>
      <w:r>
        <w:rPr>
          <w:rFonts w:eastAsia="仿宋_GB2312" w:hint="eastAsia"/>
          <w:sz w:val="30"/>
          <w:szCs w:val="30"/>
        </w:rPr>
        <w:t xml:space="preserve">主要原因是</w:t>
      </w:r>
      <w:r>
        <w:rPr>
          <w:rFonts w:eastAsia="仿宋_GB2312" w:hint="eastAsia"/>
          <w:sz w:val="30"/>
          <w:szCs w:val="30"/>
        </w:rPr>
        <w:t xml:space="preserve">我单位为2024年度新成立的单位</w:t>
      </w:r>
      <w:r>
        <w:rPr>
          <w:rFonts w:eastAsia="仿宋_GB2312" w:hint="eastAsia"/>
          <w:sz w:val="30"/>
          <w:szCs w:val="30"/>
        </w:rPr>
        <w:t xml:space="preserve">。其中：</w:t>
      </w:r>
      <w:r>
        <w:rPr>
          <w:rFonts w:eastAsia="仿宋_GB2312" w:hint="eastAsia"/>
          <w:sz w:val="30"/>
          <w:szCs w:val="30"/>
        </w:rPr>
        <w:t xml:space="preserve">基本支出257,746.15元，占100.000%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天津市养老服务事务中心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257,734.86</w:t>
      </w:r>
      <w:r>
        <w:rPr>
          <w:rFonts w:eastAsia="仿宋_GB2312" w:hint="eastAsia"/>
          <w:sz w:val="30"/>
          <w:szCs w:val="30"/>
        </w:rPr>
        <w:t xml:space="preserve">元。与2023年度相比，财政拨款收、支总计各</w:t>
      </w:r>
      <w:r>
        <w:rPr>
          <w:rFonts w:eastAsia="仿宋_GB2312" w:hint="eastAsia"/>
          <w:sz w:val="30"/>
          <w:szCs w:val="30"/>
        </w:rPr>
        <w:t xml:space="preserve">增加257,734.86元，</w:t>
      </w:r>
      <w:r>
        <w:rPr>
          <w:rFonts w:eastAsia="仿宋_GB2312" w:hint="eastAsia"/>
          <w:sz w:val="30"/>
          <w:szCs w:val="30"/>
        </w:rPr>
        <w:t xml:space="preserve">主要原因是</w:t>
      </w:r>
      <w:r>
        <w:rPr>
          <w:rFonts w:eastAsia="仿宋_GB2312" w:hint="eastAsia"/>
          <w:sz w:val="30"/>
          <w:szCs w:val="30"/>
        </w:rPr>
        <w:t xml:space="preserve">我单位为2024年度新成立的单位</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一般公共预算财政拨款257,734.86元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社会保障和就业支出246,326.42元、卫生健康支出11,408.44元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天津市养老服务事务中心2024年度部门决算一般公共预算财政拨款支出合计257,734.86元，占本年支出合计的100.000%。与2023年度相比，一般公共预算财政拨款支出</w:t>
      </w:r>
      <w:r>
        <w:rPr>
          <w:rFonts w:eastAsia="仿宋_GB2312" w:hint="eastAsia"/>
          <w:sz w:val="30"/>
          <w:szCs w:val="30"/>
        </w:rPr>
        <w:t xml:space="preserve">增加257,734.86元</w:t>
      </w:r>
      <w:r>
        <w:rPr>
          <w:rFonts w:eastAsia="仿宋_GB2312" w:hint="eastAsia"/>
          <w:sz w:val="30"/>
          <w:szCs w:val="30"/>
        </w:rPr>
        <w:t xml:space="preserve">，增长0.000%</w:t>
      </w:r>
      <w:r>
        <w:rPr>
          <w:rFonts w:eastAsia="仿宋_GB2312" w:hint="eastAsia"/>
          <w:sz w:val="30"/>
          <w:szCs w:val="30"/>
        </w:rPr>
        <w:t xml:space="preserve">，主要原因是我单位为2024年度新成立的单位。</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2024年度一般公共预算财政拨款支出257,734.86元，主要用于以下方面：</w:t>
      </w:r>
      <w:r>
        <w:rPr>
          <w:rFonts w:eastAsia="仿宋_GB2312" w:hint="eastAsia"/>
          <w:sz w:val="30"/>
          <w:szCs w:val="30"/>
        </w:rPr>
        <w:t xml:space="preserve">社会保障和就业支出（类）支出246,326.42元，占95.574%,卫生健康支出（类）支出11,408.44元，占4.426%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2024年度一般公共预算财政拨款支出年初预算为0.00元，支出决算为257,734.86元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民政管理事务（款）其他民政管理事务支出（项）年初预算为0.00元，支出决算为218,941.49元，决算数大于预算数的主要原因是：我单位为2024年度新成立的单位，年中执行过程中下达相关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0.00元，支出决算为18,258.21元，决算数大于预算数的主要原因是：我单位为2024年度新成立的单位，年中执行过程中下达相关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0.00元，支出决算为9,126.72元，决算数大于预算数的主要原因是：我单位为2024年度新成立的单位，年中执行过程中下达相关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4.卫生健康支出（类）行政事业单位医疗（款）事业单位医疗（项）年初预算为0.00元，支出决算为11,408.44元，决算数大于预算数的主要原因是：我单位为2024年度新成立的单位，年中执行过程中下达相关预算</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天津市养老服务事务中心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257,734.86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增加257,734.86元，</w:t>
      </w:r>
      <w:r>
        <w:rPr>
          <w:rFonts w:eastAsia="仿宋_GB2312" w:hint="eastAsia"/>
          <w:sz w:val="30"/>
          <w:szCs w:val="30"/>
        </w:rPr>
        <w:t xml:space="preserve">主要原因是</w:t>
      </w:r>
      <w:r>
        <w:rPr>
          <w:rFonts w:eastAsia="仿宋_GB2312" w:hint="eastAsia"/>
          <w:sz w:val="30"/>
          <w:szCs w:val="30"/>
        </w:rPr>
        <w:t xml:space="preserve">我单位为2024年度新成立的单位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人员经费244,982.67元，主要包括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公用经费12,752.19元，主要包括</w:t>
      </w:r>
      <w:r>
        <w:rPr>
          <w:rFonts w:eastAsia="仿宋_GB2312" w:hint="eastAsia"/>
          <w:sz w:val="30"/>
          <w:szCs w:val="30"/>
        </w:rPr>
        <w:t xml:space="preserve">手续费、委托业务费、其他交通费用、其他商品和服务支出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57358551"/>
      <w:bookmarkStart w:id="72" w:name="_Toc1070516966"/>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天津市养老服务事务中心2024年度无政府性基金预算财政拨款收入、支出和结转结余。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天津市养老服务事务中心2024年度无国有资本经营预算财政拨款收入、支出和结转结余。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37770055"/>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0.00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20786419"/>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天津市养老服务事务中心2024年度无机关运行经费。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464993319"/>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天津市养老服务事务中心2024年度无政府采购支出。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072564870"/>
      <w:bookmarkStart w:id="97" w:name="_Toc925871084"/>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天津市养老服务事务中心2024年度无国有资产占有使用情况。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773340371"/>
      <w:bookmarkStart w:id="102" w:name="_Toc1805544570"/>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天津市养老服务事务中心2024年度没有项目支出，无需开展绩效自评。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1843655880"/>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天津市养老服务事务中心不属于乡、镇、街级单位，不涉及公开2024年度教育、医疗卫生、社会保障和就业、住房保障、涉农补贴等民生支出情况。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282832597"/>
      <w:bookmarkStart w:id="108" w:name="_Toc368130082"/>
      <w:bookmarkStart w:id="109" w:name="_Toc56525689"/>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