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eastAsia="黑体"/>
          <w:w w:val="95"/>
          <w:sz w:val="44"/>
          <w:szCs w:val="44"/>
        </w:rPr>
      </w:pPr>
    </w:p>
    <w:p>
      <w:pPr>
        <w:spacing w:line="580" w:lineRule="exact"/>
        <w:jc w:val="center"/>
        <w:rPr>
          <w:rFonts w:eastAsia="黑体"/>
          <w:w w:val="95"/>
          <w:sz w:val="44"/>
          <w:szCs w:val="44"/>
        </w:rPr>
      </w:pPr>
    </w:p>
    <w:p>
      <w:pPr>
        <w:spacing w:line="580" w:lineRule="exact"/>
        <w:jc w:val="center"/>
        <w:rPr>
          <w:rFonts w:eastAsia="黑体"/>
          <w:w w:val="95"/>
          <w:sz w:val="44"/>
          <w:szCs w:val="44"/>
        </w:rPr>
      </w:pPr>
    </w:p>
    <w:p>
      <w:pPr>
        <w:spacing w:line="580" w:lineRule="exact"/>
        <w:jc w:val="center"/>
        <w:rPr>
          <w:rFonts w:eastAsia="黑体"/>
          <w:w w:val="95"/>
          <w:sz w:val="44"/>
          <w:szCs w:val="44"/>
        </w:rPr>
      </w:pPr>
    </w:p>
    <w:p>
      <w:pPr>
        <w:spacing w:line="580" w:lineRule="exact"/>
        <w:jc w:val="center"/>
        <w:rPr>
          <w:rFonts w:eastAsia="黑体"/>
          <w:w w:val="95"/>
          <w:sz w:val="44"/>
          <w:szCs w:val="44"/>
        </w:rPr>
      </w:pPr>
    </w:p>
    <w:p>
      <w:pPr>
        <w:spacing w:line="580" w:lineRule="exact"/>
        <w:jc w:val="center"/>
        <w:rPr>
          <w:rFonts w:eastAsia="黑体"/>
          <w:w w:val="95"/>
          <w:sz w:val="44"/>
          <w:szCs w:val="44"/>
        </w:rPr>
      </w:pPr>
    </w:p>
    <w:p>
      <w:pPr>
        <w:spacing w:line="580" w:lineRule="exact"/>
        <w:jc w:val="center"/>
        <w:rPr>
          <w:rFonts w:eastAsia="黑体"/>
          <w:w w:val="95"/>
          <w:sz w:val="44"/>
          <w:szCs w:val="44"/>
        </w:rPr>
      </w:pPr>
    </w:p>
    <w:p>
      <w:pPr>
        <w:spacing w:line="580" w:lineRule="exact"/>
        <w:jc w:val="center"/>
        <w:rPr>
          <w:rFonts w:eastAsia="黑体"/>
          <w:w w:val="95"/>
          <w:sz w:val="44"/>
          <w:szCs w:val="44"/>
        </w:rPr>
      </w:pPr>
    </w:p>
    <w:p>
      <w:pPr>
        <w:spacing w:line="240" w:lineRule="auto"/>
        <w:jc w:val="center"/>
        <w:rPr>
          <w:rFonts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rPr>
        <w:t>天津市安宁医院2024年部门预算</w:t>
      </w:r>
    </w:p>
    <w:p>
      <w:pPr>
        <w:spacing w:line="240" w:lineRule="auto"/>
        <w:jc w:val="center"/>
        <w:rPr>
          <w:rFonts w:ascii="方正小标宋简体" w:hAnsi="方正小标宋简体" w:eastAsia="方正小标宋简体" w:cs="方正小标宋简体"/>
          <w:w w:val="95"/>
          <w:sz w:val="48"/>
          <w:szCs w:val="48"/>
        </w:rPr>
      </w:pPr>
    </w:p>
    <w:p>
      <w:pPr>
        <w:spacing w:line="580" w:lineRule="exact"/>
        <w:jc w:val="center"/>
        <w:rPr>
          <w:rFonts w:ascii="黑体" w:eastAsia="黑体"/>
          <w:sz w:val="30"/>
          <w:szCs w:val="30"/>
        </w:rPr>
      </w:pPr>
    </w:p>
    <w:p>
      <w:pPr>
        <w:spacing w:line="580" w:lineRule="exact"/>
        <w:jc w:val="center"/>
        <w:rPr>
          <w:rFonts w:ascii="黑体" w:eastAsia="黑体"/>
          <w:sz w:val="30"/>
          <w:szCs w:val="30"/>
        </w:rPr>
      </w:pPr>
    </w:p>
    <w:p>
      <w:pPr>
        <w:spacing w:line="580" w:lineRule="exact"/>
        <w:jc w:val="center"/>
        <w:rPr>
          <w:rFonts w:ascii="黑体" w:eastAsia="黑体"/>
          <w:sz w:val="30"/>
          <w:szCs w:val="30"/>
        </w:rPr>
      </w:pPr>
    </w:p>
    <w:p>
      <w:pPr>
        <w:spacing w:line="580" w:lineRule="exact"/>
        <w:jc w:val="center"/>
        <w:rPr>
          <w:rFonts w:ascii="黑体" w:eastAsia="黑体"/>
          <w:sz w:val="30"/>
          <w:szCs w:val="30"/>
        </w:rPr>
      </w:pPr>
    </w:p>
    <w:p>
      <w:pPr>
        <w:spacing w:line="580" w:lineRule="exact"/>
        <w:jc w:val="center"/>
        <w:rPr>
          <w:rFonts w:ascii="黑体" w:eastAsia="黑体"/>
          <w:sz w:val="30"/>
          <w:szCs w:val="30"/>
        </w:rPr>
      </w:pPr>
    </w:p>
    <w:p>
      <w:pPr>
        <w:spacing w:line="580" w:lineRule="exact"/>
        <w:jc w:val="center"/>
        <w:rPr>
          <w:rFonts w:ascii="黑体" w:eastAsia="黑体"/>
          <w:sz w:val="30"/>
          <w:szCs w:val="30"/>
        </w:rPr>
      </w:pPr>
    </w:p>
    <w:p>
      <w:pPr>
        <w:spacing w:line="580" w:lineRule="exact"/>
        <w:jc w:val="center"/>
        <w:rPr>
          <w:rFonts w:ascii="黑体" w:eastAsia="黑体"/>
          <w:sz w:val="30"/>
          <w:szCs w:val="30"/>
        </w:rPr>
      </w:pPr>
    </w:p>
    <w:p>
      <w:pPr>
        <w:spacing w:line="580" w:lineRule="exact"/>
        <w:jc w:val="center"/>
        <w:rPr>
          <w:rFonts w:ascii="黑体" w:eastAsia="黑体"/>
          <w:sz w:val="30"/>
          <w:szCs w:val="30"/>
        </w:rPr>
      </w:pPr>
    </w:p>
    <w:p>
      <w:pPr>
        <w:spacing w:line="580" w:lineRule="exact"/>
        <w:jc w:val="center"/>
        <w:rPr>
          <w:rFonts w:ascii="黑体" w:eastAsia="黑体"/>
          <w:sz w:val="30"/>
          <w:szCs w:val="30"/>
        </w:rPr>
      </w:pPr>
    </w:p>
    <w:p>
      <w:pPr>
        <w:spacing w:line="580" w:lineRule="exact"/>
        <w:jc w:val="center"/>
        <w:rPr>
          <w:rFonts w:ascii="黑体" w:eastAsia="黑体"/>
          <w:sz w:val="44"/>
          <w:szCs w:val="44"/>
        </w:rPr>
      </w:pPr>
    </w:p>
    <w:p>
      <w:pPr>
        <w:spacing w:line="600" w:lineRule="exact"/>
        <w:jc w:val="center"/>
        <w:rPr>
          <w:rFonts w:ascii="黑体" w:eastAsia="黑体"/>
          <w:sz w:val="44"/>
          <w:szCs w:val="44"/>
        </w:rPr>
      </w:pPr>
    </w:p>
    <w:p>
      <w:pPr>
        <w:spacing w:line="600" w:lineRule="exact"/>
        <w:jc w:val="center"/>
        <w:rPr>
          <w:rFonts w:hint="eastAsia" w:ascii="黑体" w:eastAsia="黑体"/>
          <w:sz w:val="44"/>
          <w:szCs w:val="44"/>
        </w:rPr>
      </w:pPr>
    </w:p>
    <w:p>
      <w:pPr>
        <w:spacing w:line="600" w:lineRule="exact"/>
        <w:jc w:val="center"/>
        <w:rPr>
          <w:rFonts w:ascii="黑体" w:eastAsia="黑体"/>
          <w:sz w:val="44"/>
          <w:szCs w:val="44"/>
        </w:rPr>
      </w:pPr>
      <w:r>
        <w:rPr>
          <w:rFonts w:hint="eastAsia" w:ascii="黑体" w:eastAsia="黑体"/>
          <w:sz w:val="44"/>
          <w:szCs w:val="44"/>
        </w:rPr>
        <w:t>目   录</w:t>
      </w:r>
    </w:p>
    <w:p>
      <w:pPr>
        <w:spacing w:line="600" w:lineRule="exact"/>
        <w:rPr>
          <w:rFonts w:ascii="黑体" w:eastAsia="黑体"/>
          <w:sz w:val="30"/>
          <w:szCs w:val="30"/>
        </w:rPr>
      </w:pPr>
    </w:p>
    <w:p>
      <w:pPr>
        <w:spacing w:line="600" w:lineRule="exact"/>
        <w:rPr>
          <w:rFonts w:ascii="仿宋_GB2312" w:hAnsi="Times New Roman" w:eastAsia="仿宋_GB2312"/>
          <w:b/>
          <w:sz w:val="30"/>
          <w:szCs w:val="30"/>
        </w:rPr>
      </w:pPr>
      <w:r>
        <w:rPr>
          <w:rFonts w:hint="eastAsia" w:ascii="仿宋_GB2312" w:hAnsi="Times New Roman" w:eastAsia="仿宋_GB2312"/>
          <w:b/>
          <w:sz w:val="30"/>
          <w:szCs w:val="30"/>
        </w:rPr>
        <w:t>第一部分  概 况</w:t>
      </w:r>
    </w:p>
    <w:p>
      <w:pPr>
        <w:spacing w:line="600" w:lineRule="exact"/>
        <w:rPr>
          <w:rFonts w:ascii="仿宋_GB2312" w:hAnsi="Times New Roman" w:eastAsia="仿宋_GB2312"/>
          <w:sz w:val="30"/>
          <w:szCs w:val="30"/>
        </w:rPr>
      </w:pPr>
      <w:r>
        <w:rPr>
          <w:rFonts w:hint="eastAsia" w:ascii="仿宋_GB2312" w:hAnsi="Times New Roman" w:eastAsia="仿宋_GB2312"/>
          <w:sz w:val="30"/>
          <w:szCs w:val="30"/>
        </w:rPr>
        <w:t>一、主要职责</w:t>
      </w:r>
    </w:p>
    <w:p>
      <w:pPr>
        <w:spacing w:line="600" w:lineRule="exact"/>
        <w:rPr>
          <w:rFonts w:ascii="仿宋_GB2312" w:hAnsi="Times New Roman" w:eastAsia="仿宋_GB2312"/>
          <w:sz w:val="30"/>
          <w:szCs w:val="30"/>
        </w:rPr>
      </w:pPr>
      <w:r>
        <w:rPr>
          <w:rFonts w:hint="eastAsia" w:ascii="仿宋_GB2312" w:hAnsi="Times New Roman" w:eastAsia="仿宋_GB2312"/>
          <w:sz w:val="30"/>
          <w:szCs w:val="30"/>
        </w:rPr>
        <w:t>二、机构设置情况</w:t>
      </w:r>
    </w:p>
    <w:p>
      <w:pPr>
        <w:spacing w:line="600" w:lineRule="exact"/>
        <w:rPr>
          <w:rFonts w:ascii="仿宋_GB2312" w:hAnsi="Times New Roman" w:eastAsia="仿宋_GB2312"/>
          <w:b/>
          <w:sz w:val="30"/>
          <w:szCs w:val="30"/>
        </w:rPr>
      </w:pPr>
      <w:r>
        <w:rPr>
          <w:rFonts w:hint="eastAsia" w:ascii="仿宋_GB2312" w:hAnsi="Times New Roman" w:eastAsia="仿宋_GB2312"/>
          <w:b/>
          <w:sz w:val="30"/>
          <w:szCs w:val="30"/>
        </w:rPr>
        <w:t>第二部分  2024年部门预算情况说明</w:t>
      </w:r>
    </w:p>
    <w:p>
      <w:pPr>
        <w:spacing w:line="600" w:lineRule="exact"/>
        <w:rPr>
          <w:rFonts w:ascii="仿宋_GB2312" w:hAnsi="Times New Roman" w:eastAsia="仿宋_GB2312"/>
          <w:sz w:val="30"/>
          <w:szCs w:val="30"/>
        </w:rPr>
      </w:pPr>
      <w:r>
        <w:rPr>
          <w:rFonts w:hint="eastAsia" w:ascii="仿宋_GB2312" w:hAnsi="Times New Roman" w:eastAsia="仿宋_GB2312"/>
          <w:sz w:val="30"/>
          <w:szCs w:val="30"/>
        </w:rPr>
        <w:t>一、关于收支总体情况表的说明</w:t>
      </w:r>
    </w:p>
    <w:p>
      <w:pPr>
        <w:spacing w:line="600" w:lineRule="exact"/>
        <w:rPr>
          <w:rFonts w:ascii="仿宋_GB2312" w:hAnsi="Times New Roman" w:eastAsia="仿宋_GB2312"/>
          <w:sz w:val="30"/>
          <w:szCs w:val="30"/>
        </w:rPr>
      </w:pPr>
      <w:r>
        <w:rPr>
          <w:rFonts w:hint="eastAsia" w:ascii="仿宋_GB2312" w:hAnsi="Times New Roman" w:eastAsia="仿宋_GB2312"/>
          <w:sz w:val="30"/>
          <w:szCs w:val="30"/>
        </w:rPr>
        <w:t>二、关于收入总体情况表的说明</w:t>
      </w:r>
    </w:p>
    <w:p>
      <w:pPr>
        <w:spacing w:line="600" w:lineRule="exact"/>
        <w:rPr>
          <w:rFonts w:ascii="仿宋_GB2312" w:hAnsi="Times New Roman" w:eastAsia="仿宋_GB2312"/>
          <w:sz w:val="30"/>
          <w:szCs w:val="30"/>
        </w:rPr>
      </w:pPr>
      <w:r>
        <w:rPr>
          <w:rFonts w:hint="eastAsia" w:ascii="仿宋_GB2312" w:hAnsi="Times New Roman" w:eastAsia="仿宋_GB2312"/>
          <w:sz w:val="30"/>
          <w:szCs w:val="30"/>
        </w:rPr>
        <w:t>三、关于支出总体情况表的说明</w:t>
      </w:r>
    </w:p>
    <w:p>
      <w:pPr>
        <w:spacing w:line="600" w:lineRule="exact"/>
        <w:rPr>
          <w:rFonts w:ascii="仿宋_GB2312" w:hAnsi="Times New Roman" w:eastAsia="仿宋_GB2312"/>
          <w:sz w:val="30"/>
          <w:szCs w:val="30"/>
        </w:rPr>
      </w:pPr>
      <w:r>
        <w:rPr>
          <w:rFonts w:hint="eastAsia" w:ascii="仿宋_GB2312" w:hAnsi="Times New Roman" w:eastAsia="仿宋_GB2312"/>
          <w:sz w:val="30"/>
          <w:szCs w:val="30"/>
        </w:rPr>
        <w:t>四、关于财政拨款收支总体情况表的说明</w:t>
      </w:r>
    </w:p>
    <w:p>
      <w:pPr>
        <w:spacing w:line="600" w:lineRule="exact"/>
        <w:rPr>
          <w:rFonts w:ascii="仿宋_GB2312" w:hAnsi="Times New Roman" w:eastAsia="仿宋_GB2312"/>
          <w:sz w:val="30"/>
          <w:szCs w:val="30"/>
        </w:rPr>
      </w:pPr>
      <w:r>
        <w:rPr>
          <w:rFonts w:hint="eastAsia" w:ascii="仿宋_GB2312" w:hAnsi="Times New Roman" w:eastAsia="仿宋_GB2312"/>
          <w:sz w:val="30"/>
          <w:szCs w:val="30"/>
        </w:rPr>
        <w:t>五、关于一般公共预算支出情况的说明</w:t>
      </w:r>
    </w:p>
    <w:p>
      <w:pPr>
        <w:spacing w:line="600" w:lineRule="exact"/>
        <w:rPr>
          <w:rFonts w:ascii="仿宋_GB2312" w:hAnsi="Times New Roman" w:eastAsia="仿宋_GB2312"/>
          <w:sz w:val="30"/>
          <w:szCs w:val="30"/>
        </w:rPr>
      </w:pPr>
      <w:r>
        <w:rPr>
          <w:rFonts w:hint="eastAsia" w:ascii="仿宋_GB2312" w:hAnsi="Times New Roman" w:eastAsia="仿宋_GB2312"/>
          <w:sz w:val="30"/>
          <w:szCs w:val="30"/>
        </w:rPr>
        <w:t>六、关于一般公共预算基本支出情况表的说明</w:t>
      </w:r>
    </w:p>
    <w:p>
      <w:pPr>
        <w:spacing w:line="600" w:lineRule="exact"/>
        <w:rPr>
          <w:rFonts w:ascii="仿宋_GB2312" w:hAnsi="Times New Roman" w:eastAsia="仿宋_GB2312"/>
          <w:sz w:val="30"/>
          <w:szCs w:val="30"/>
        </w:rPr>
      </w:pPr>
      <w:r>
        <w:rPr>
          <w:rFonts w:hint="eastAsia" w:ascii="仿宋_GB2312" w:hAnsi="Times New Roman" w:eastAsia="仿宋_GB2312"/>
          <w:sz w:val="30"/>
          <w:szCs w:val="30"/>
        </w:rPr>
        <w:t>七、关于一般公共预算“三公”经费支出情况表的说明</w:t>
      </w:r>
    </w:p>
    <w:p>
      <w:pPr>
        <w:spacing w:line="600" w:lineRule="exact"/>
        <w:rPr>
          <w:rFonts w:ascii="仿宋_GB2312" w:hAnsi="Times New Roman" w:eastAsia="仿宋_GB2312"/>
          <w:sz w:val="30"/>
          <w:szCs w:val="30"/>
        </w:rPr>
      </w:pPr>
      <w:r>
        <w:rPr>
          <w:rFonts w:hint="eastAsia" w:ascii="仿宋_GB2312" w:hAnsi="Times New Roman" w:eastAsia="仿宋_GB2312"/>
          <w:sz w:val="30"/>
          <w:szCs w:val="30"/>
        </w:rPr>
        <w:t>八、关于政府性基金预算支出情况表的说明</w:t>
      </w:r>
    </w:p>
    <w:p>
      <w:pPr>
        <w:spacing w:line="600" w:lineRule="exact"/>
        <w:rPr>
          <w:rFonts w:ascii="仿宋_GB2312" w:hAnsi="Times New Roman" w:eastAsia="仿宋_GB2312"/>
          <w:sz w:val="30"/>
          <w:szCs w:val="30"/>
        </w:rPr>
      </w:pPr>
      <w:r>
        <w:rPr>
          <w:rFonts w:hint="eastAsia" w:ascii="仿宋_GB2312" w:hAnsi="Times New Roman" w:eastAsia="仿宋_GB2312"/>
          <w:sz w:val="30"/>
          <w:szCs w:val="30"/>
        </w:rPr>
        <w:t>九、关于国有资本经营预算支出情况表的说明</w:t>
      </w:r>
    </w:p>
    <w:p>
      <w:pPr>
        <w:spacing w:line="600" w:lineRule="exact"/>
        <w:rPr>
          <w:rFonts w:ascii="仿宋_GB2312" w:hAnsi="Times New Roman" w:eastAsia="仿宋_GB2312"/>
          <w:sz w:val="30"/>
          <w:szCs w:val="30"/>
        </w:rPr>
      </w:pPr>
      <w:r>
        <w:rPr>
          <w:rFonts w:hint="eastAsia" w:ascii="仿宋_GB2312" w:hAnsi="Times New Roman" w:eastAsia="仿宋_GB2312"/>
          <w:sz w:val="30"/>
          <w:szCs w:val="30"/>
        </w:rPr>
        <w:t>十、其他重要事项的情况说明</w:t>
      </w:r>
    </w:p>
    <w:p>
      <w:pPr>
        <w:spacing w:line="600" w:lineRule="exact"/>
        <w:rPr>
          <w:rFonts w:ascii="仿宋_GB2312" w:hAnsi="Times New Roman" w:eastAsia="仿宋_GB2312"/>
          <w:b/>
          <w:sz w:val="30"/>
          <w:szCs w:val="30"/>
        </w:rPr>
      </w:pPr>
      <w:r>
        <w:rPr>
          <w:rFonts w:hint="eastAsia" w:ascii="仿宋_GB2312" w:hAnsi="Times New Roman" w:eastAsia="仿宋_GB2312"/>
          <w:b/>
          <w:sz w:val="30"/>
          <w:szCs w:val="30"/>
        </w:rPr>
        <w:t>第三部分  名词解释</w:t>
      </w:r>
    </w:p>
    <w:p>
      <w:pPr>
        <w:spacing w:line="600" w:lineRule="exact"/>
        <w:rPr>
          <w:rFonts w:ascii="仿宋_GB2312" w:hAnsi="Times New Roman" w:eastAsia="仿宋_GB2312"/>
          <w:b/>
          <w:sz w:val="30"/>
          <w:szCs w:val="30"/>
        </w:rPr>
      </w:pPr>
      <w:r>
        <w:rPr>
          <w:rFonts w:hint="eastAsia" w:ascii="仿宋_GB2312" w:hAnsi="Times New Roman" w:eastAsia="仿宋_GB2312"/>
          <w:b/>
          <w:sz w:val="30"/>
          <w:szCs w:val="30"/>
        </w:rPr>
        <w:t>第四部分  2024年部门预算表</w:t>
      </w:r>
    </w:p>
    <w:p>
      <w:pPr>
        <w:spacing w:line="600" w:lineRule="exact"/>
        <w:rPr>
          <w:rFonts w:ascii="仿宋_GB2312" w:hAnsi="Times New Roman" w:eastAsia="仿宋_GB2312"/>
          <w:sz w:val="30"/>
          <w:szCs w:val="30"/>
        </w:rPr>
      </w:pPr>
      <w:r>
        <w:rPr>
          <w:rFonts w:hint="eastAsia" w:ascii="仿宋_GB2312" w:hAnsi="Times New Roman" w:eastAsia="仿宋_GB2312"/>
          <w:sz w:val="30"/>
          <w:szCs w:val="30"/>
        </w:rPr>
        <w:t>一、部门收支总体情况表</w:t>
      </w:r>
    </w:p>
    <w:p>
      <w:pPr>
        <w:spacing w:line="600" w:lineRule="exact"/>
        <w:rPr>
          <w:rFonts w:ascii="仿宋_GB2312" w:hAnsi="Times New Roman" w:eastAsia="仿宋_GB2312"/>
          <w:sz w:val="30"/>
          <w:szCs w:val="30"/>
        </w:rPr>
      </w:pPr>
      <w:r>
        <w:rPr>
          <w:rFonts w:hint="eastAsia" w:ascii="仿宋_GB2312" w:hAnsi="Times New Roman" w:eastAsia="仿宋_GB2312"/>
          <w:sz w:val="30"/>
          <w:szCs w:val="30"/>
        </w:rPr>
        <w:t>二、部门收入总体情况表</w:t>
      </w:r>
    </w:p>
    <w:p>
      <w:pPr>
        <w:spacing w:line="600" w:lineRule="exact"/>
        <w:rPr>
          <w:rFonts w:ascii="仿宋_GB2312" w:hAnsi="Times New Roman" w:eastAsia="仿宋_GB2312"/>
          <w:sz w:val="30"/>
          <w:szCs w:val="30"/>
        </w:rPr>
      </w:pPr>
      <w:r>
        <w:rPr>
          <w:rFonts w:hint="eastAsia" w:ascii="仿宋_GB2312" w:hAnsi="Times New Roman" w:eastAsia="仿宋_GB2312"/>
          <w:sz w:val="30"/>
          <w:szCs w:val="30"/>
        </w:rPr>
        <w:t>三、部门支出总体情况表</w:t>
      </w:r>
    </w:p>
    <w:p>
      <w:pPr>
        <w:spacing w:line="600" w:lineRule="exact"/>
        <w:rPr>
          <w:rFonts w:ascii="仿宋_GB2312" w:hAnsi="Times New Roman" w:eastAsia="仿宋_GB2312"/>
          <w:sz w:val="30"/>
          <w:szCs w:val="30"/>
        </w:rPr>
      </w:pPr>
      <w:r>
        <w:rPr>
          <w:rFonts w:hint="eastAsia" w:ascii="仿宋_GB2312" w:hAnsi="Times New Roman" w:eastAsia="仿宋_GB2312"/>
          <w:sz w:val="30"/>
          <w:szCs w:val="30"/>
        </w:rPr>
        <w:t>四、财政拨款收支总体情况表</w:t>
      </w:r>
    </w:p>
    <w:p>
      <w:pPr>
        <w:spacing w:line="600" w:lineRule="exact"/>
        <w:rPr>
          <w:rFonts w:ascii="仿宋_GB2312" w:hAnsi="Times New Roman" w:eastAsia="仿宋_GB2312"/>
          <w:sz w:val="30"/>
          <w:szCs w:val="30"/>
        </w:rPr>
      </w:pPr>
      <w:r>
        <w:rPr>
          <w:rFonts w:hint="eastAsia" w:ascii="仿宋_GB2312" w:hAnsi="Times New Roman" w:eastAsia="仿宋_GB2312"/>
          <w:sz w:val="30"/>
          <w:szCs w:val="30"/>
        </w:rPr>
        <w:t>五、一般公共预算支出情况表</w:t>
      </w:r>
    </w:p>
    <w:p>
      <w:pPr>
        <w:spacing w:line="600" w:lineRule="exact"/>
        <w:rPr>
          <w:rFonts w:ascii="仿宋_GB2312" w:hAnsi="Times New Roman" w:eastAsia="仿宋_GB2312"/>
          <w:sz w:val="30"/>
          <w:szCs w:val="30"/>
        </w:rPr>
      </w:pPr>
      <w:r>
        <w:rPr>
          <w:rFonts w:hint="eastAsia" w:ascii="仿宋_GB2312" w:hAnsi="Times New Roman" w:eastAsia="仿宋_GB2312"/>
          <w:sz w:val="30"/>
          <w:szCs w:val="30"/>
        </w:rPr>
        <w:t>六、一般公共预算基本支出情况表</w:t>
      </w:r>
    </w:p>
    <w:p>
      <w:pPr>
        <w:spacing w:line="600" w:lineRule="exact"/>
        <w:rPr>
          <w:rFonts w:ascii="仿宋_GB2312" w:hAnsi="Times New Roman" w:eastAsia="仿宋_GB2312"/>
          <w:sz w:val="30"/>
          <w:szCs w:val="30"/>
        </w:rPr>
      </w:pPr>
      <w:r>
        <w:rPr>
          <w:rFonts w:hint="eastAsia" w:ascii="仿宋_GB2312" w:hAnsi="Times New Roman" w:eastAsia="仿宋_GB2312"/>
          <w:sz w:val="30"/>
          <w:szCs w:val="30"/>
        </w:rPr>
        <w:t>七、一般公共预算“三公”经费支出情况表</w:t>
      </w:r>
    </w:p>
    <w:p>
      <w:pPr>
        <w:spacing w:line="600" w:lineRule="exact"/>
        <w:rPr>
          <w:rFonts w:ascii="仿宋_GB2312" w:hAnsi="Times New Roman" w:eastAsia="仿宋_GB2312"/>
          <w:sz w:val="30"/>
          <w:szCs w:val="30"/>
        </w:rPr>
      </w:pPr>
      <w:r>
        <w:rPr>
          <w:rFonts w:hint="eastAsia" w:ascii="仿宋_GB2312" w:hAnsi="Times New Roman" w:eastAsia="仿宋_GB2312"/>
          <w:sz w:val="30"/>
          <w:szCs w:val="30"/>
        </w:rPr>
        <w:t>八、政府性基金预算支出情况表</w:t>
      </w:r>
    </w:p>
    <w:p>
      <w:pPr>
        <w:spacing w:line="600" w:lineRule="exact"/>
        <w:rPr>
          <w:rFonts w:ascii="仿宋_GB2312" w:hAnsi="Times New Roman" w:eastAsia="仿宋_GB2312"/>
          <w:sz w:val="30"/>
          <w:szCs w:val="30"/>
        </w:rPr>
      </w:pPr>
      <w:r>
        <w:rPr>
          <w:rFonts w:hint="eastAsia" w:ascii="仿宋_GB2312" w:hAnsi="Times New Roman" w:eastAsia="仿宋_GB2312"/>
          <w:sz w:val="30"/>
          <w:szCs w:val="30"/>
        </w:rPr>
        <w:t>九、国有资本经营预算支出情况表</w:t>
      </w:r>
    </w:p>
    <w:p>
      <w:pPr>
        <w:spacing w:line="600" w:lineRule="exact"/>
        <w:rPr>
          <w:rFonts w:ascii="仿宋_GB2312" w:hAnsi="Times New Roman" w:eastAsia="仿宋_GB2312"/>
          <w:sz w:val="30"/>
          <w:szCs w:val="30"/>
        </w:rPr>
      </w:pPr>
      <w:r>
        <w:rPr>
          <w:rFonts w:hint="eastAsia" w:ascii="仿宋_GB2312" w:hAnsi="Times New Roman" w:eastAsia="仿宋_GB2312"/>
          <w:sz w:val="30"/>
          <w:szCs w:val="30"/>
        </w:rPr>
        <w:t>十、项目支出表</w:t>
      </w:r>
    </w:p>
    <w:p>
      <w:pPr>
        <w:spacing w:line="600" w:lineRule="exact"/>
        <w:rPr>
          <w:rFonts w:ascii="仿宋_GB2312" w:hAnsi="Times New Roman" w:eastAsia="仿宋_GB2312"/>
          <w:sz w:val="30"/>
          <w:szCs w:val="30"/>
        </w:rPr>
      </w:pPr>
      <w:r>
        <w:rPr>
          <w:rFonts w:hint="eastAsia" w:ascii="仿宋_GB2312" w:hAnsi="Times New Roman" w:eastAsia="仿宋_GB2312"/>
          <w:sz w:val="30"/>
          <w:szCs w:val="30"/>
        </w:rPr>
        <w:t>十一、关于空表的说明</w:t>
      </w:r>
      <w:r>
        <w:rPr>
          <w:rFonts w:hint="eastAsia" w:ascii="仿宋_GB2312" w:hAnsi="Times New Roman" w:eastAsia="仿宋_GB2312"/>
          <w:sz w:val="30"/>
          <w:szCs w:val="30"/>
        </w:rPr>
        <w:tab/>
      </w:r>
    </w:p>
    <w:p>
      <w:pPr>
        <w:spacing w:line="600" w:lineRule="exact"/>
        <w:rPr>
          <w:rFonts w:ascii="仿宋_GB2312" w:hAnsi="Times New Roman" w:eastAsia="仿宋_GB2312"/>
          <w:b/>
          <w:sz w:val="30"/>
          <w:szCs w:val="30"/>
        </w:rPr>
      </w:pPr>
      <w:r>
        <w:rPr>
          <w:rFonts w:ascii="仿宋_GB2312" w:hAnsi="Times New Roman" w:eastAsia="仿宋_GB2312"/>
          <w:b/>
          <w:sz w:val="30"/>
          <w:szCs w:val="30"/>
        </w:rPr>
        <w:fldChar w:fldCharType="begin"/>
      </w:r>
      <w:r>
        <w:rPr>
          <w:rFonts w:ascii="仿宋_GB2312" w:hAnsi="Times New Roman" w:eastAsia="仿宋_GB2312"/>
          <w:b/>
          <w:sz w:val="30"/>
          <w:szCs w:val="30"/>
        </w:rPr>
        <w:instrText xml:space="preserve"> </w:instrText>
      </w:r>
      <w:r>
        <w:rPr>
          <w:rFonts w:hint="eastAsia" w:ascii="仿宋_GB2312" w:hAnsi="Times New Roman" w:eastAsia="仿宋_GB2312"/>
          <w:b/>
          <w:sz w:val="30"/>
          <w:szCs w:val="30"/>
        </w:rPr>
        <w:instrText xml:space="preserve">TOC \o "1-3" \h \z \u</w:instrText>
      </w:r>
      <w:r>
        <w:rPr>
          <w:rFonts w:ascii="仿宋_GB2312" w:hAnsi="Times New Roman" w:eastAsia="仿宋_GB2312"/>
          <w:b/>
          <w:sz w:val="30"/>
          <w:szCs w:val="30"/>
        </w:rPr>
        <w:instrText xml:space="preserve"> </w:instrText>
      </w:r>
      <w:r>
        <w:rPr>
          <w:rFonts w:ascii="仿宋_GB2312" w:hAnsi="Times New Roman" w:eastAsia="仿宋_GB2312"/>
          <w:b/>
          <w:sz w:val="30"/>
          <w:szCs w:val="30"/>
        </w:rPr>
        <w:fldChar w:fldCharType="separate"/>
      </w:r>
    </w:p>
    <w:p>
      <w:pPr>
        <w:spacing w:line="600" w:lineRule="exact"/>
        <w:jc w:val="both"/>
        <w:rPr>
          <w:rFonts w:ascii="仿宋_GB2312" w:hAnsi="Times New Roman" w:eastAsia="仿宋_GB2312"/>
          <w:sz w:val="30"/>
          <w:szCs w:val="30"/>
        </w:rPr>
      </w:pPr>
      <w:r>
        <w:rPr>
          <w:rFonts w:ascii="仿宋_GB2312" w:hAnsi="Times New Roman" w:eastAsia="仿宋_GB2312"/>
          <w:sz w:val="30"/>
          <w:szCs w:val="30"/>
        </w:rPr>
        <w:fldChar w:fldCharType="end"/>
      </w:r>
    </w:p>
    <w:p>
      <w:pPr>
        <w:spacing w:line="600" w:lineRule="exact"/>
        <w:jc w:val="both"/>
        <w:rPr>
          <w:rFonts w:ascii="仿宋_GB2312" w:hAnsi="Times New Roman" w:eastAsia="仿宋_GB2312"/>
          <w:sz w:val="30"/>
          <w:szCs w:val="30"/>
        </w:rPr>
      </w:pPr>
    </w:p>
    <w:p>
      <w:pPr>
        <w:spacing w:line="600" w:lineRule="exact"/>
        <w:jc w:val="both"/>
        <w:rPr>
          <w:rFonts w:ascii="仿宋_GB2312" w:hAnsi="Times New Roman" w:eastAsia="仿宋_GB2312"/>
          <w:sz w:val="30"/>
          <w:szCs w:val="30"/>
        </w:rPr>
      </w:pPr>
    </w:p>
    <w:p>
      <w:pPr>
        <w:spacing w:line="600" w:lineRule="exact"/>
        <w:jc w:val="both"/>
        <w:rPr>
          <w:rFonts w:ascii="仿宋_GB2312" w:hAnsi="Times New Roman" w:eastAsia="仿宋_GB2312"/>
          <w:sz w:val="30"/>
          <w:szCs w:val="30"/>
        </w:rPr>
      </w:pPr>
    </w:p>
    <w:p>
      <w:pPr>
        <w:spacing w:line="600" w:lineRule="exact"/>
        <w:jc w:val="both"/>
        <w:rPr>
          <w:rFonts w:ascii="仿宋_GB2312" w:hAnsi="Times New Roman" w:eastAsia="仿宋_GB2312"/>
          <w:sz w:val="30"/>
          <w:szCs w:val="30"/>
        </w:rPr>
      </w:pPr>
    </w:p>
    <w:p>
      <w:pPr>
        <w:spacing w:line="600" w:lineRule="exact"/>
        <w:jc w:val="both"/>
        <w:rPr>
          <w:rFonts w:ascii="仿宋_GB2312" w:hAnsi="Times New Roman" w:eastAsia="仿宋_GB2312"/>
          <w:sz w:val="30"/>
          <w:szCs w:val="30"/>
        </w:rPr>
      </w:pPr>
    </w:p>
    <w:p>
      <w:pPr>
        <w:spacing w:line="600" w:lineRule="exact"/>
        <w:jc w:val="both"/>
        <w:rPr>
          <w:rFonts w:ascii="仿宋_GB2312" w:hAnsi="Times New Roman" w:eastAsia="仿宋_GB2312"/>
          <w:sz w:val="30"/>
          <w:szCs w:val="30"/>
        </w:rPr>
      </w:pPr>
    </w:p>
    <w:p>
      <w:pPr>
        <w:spacing w:line="600" w:lineRule="exact"/>
        <w:jc w:val="both"/>
        <w:rPr>
          <w:rFonts w:ascii="仿宋_GB2312" w:hAnsi="Times New Roman" w:eastAsia="仿宋_GB2312"/>
          <w:sz w:val="30"/>
          <w:szCs w:val="30"/>
        </w:rPr>
      </w:pPr>
    </w:p>
    <w:p>
      <w:pPr>
        <w:spacing w:line="600" w:lineRule="exact"/>
        <w:jc w:val="both"/>
        <w:rPr>
          <w:rFonts w:ascii="仿宋_GB2312" w:hAnsi="Times New Roman" w:eastAsia="仿宋_GB2312"/>
          <w:sz w:val="30"/>
          <w:szCs w:val="30"/>
        </w:rPr>
      </w:pPr>
    </w:p>
    <w:p>
      <w:pPr>
        <w:spacing w:line="600" w:lineRule="exact"/>
        <w:jc w:val="both"/>
        <w:rPr>
          <w:rFonts w:ascii="仿宋_GB2312" w:hAnsi="Times New Roman" w:eastAsia="仿宋_GB2312"/>
          <w:sz w:val="30"/>
          <w:szCs w:val="30"/>
        </w:rPr>
      </w:pPr>
    </w:p>
    <w:p>
      <w:pPr>
        <w:spacing w:line="600" w:lineRule="exact"/>
        <w:jc w:val="both"/>
        <w:rPr>
          <w:rFonts w:eastAsia="黑体"/>
          <w:w w:val="95"/>
          <w:sz w:val="44"/>
          <w:szCs w:val="44"/>
        </w:rPr>
      </w:pPr>
    </w:p>
    <w:p>
      <w:pPr>
        <w:pStyle w:val="8"/>
        <w:tabs>
          <w:tab w:val="right" w:leader="dot" w:pos="8296"/>
        </w:tabs>
        <w:spacing w:line="600" w:lineRule="exact"/>
        <w:ind w:left="0"/>
        <w:rPr>
          <w:rFonts w:ascii="黑体" w:eastAsia="黑体"/>
          <w:sz w:val="30"/>
          <w:szCs w:val="30"/>
        </w:rPr>
        <w:sectPr>
          <w:headerReference r:id="rId5" w:type="default"/>
          <w:footerReference r:id="rId6" w:type="default"/>
          <w:footerReference r:id="rId7" w:type="even"/>
          <w:pgSz w:w="11907" w:h="16840"/>
          <w:pgMar w:top="2098" w:right="1474" w:bottom="1304" w:left="1588" w:header="765" w:footer="765" w:gutter="0"/>
          <w:pgNumType w:fmt="numberInDash" w:start="1"/>
          <w:cols w:space="720" w:num="1"/>
          <w:docGrid w:linePitch="326" w:charSpace="0"/>
        </w:sectPr>
      </w:pPr>
    </w:p>
    <w:p>
      <w:pPr>
        <w:pStyle w:val="2"/>
        <w:spacing w:line="600" w:lineRule="exact"/>
        <w:jc w:val="center"/>
        <w:rPr>
          <w:rFonts w:ascii="方正小标宋简体" w:hAnsi="方正小标宋简体" w:eastAsia="方正小标宋简体" w:cs="方正小标宋简体"/>
          <w:b w:val="0"/>
          <w:sz w:val="48"/>
          <w:szCs w:val="48"/>
        </w:rPr>
      </w:pPr>
      <w:bookmarkStart w:id="0" w:name="_Toc78784554"/>
      <w:r>
        <w:rPr>
          <w:rFonts w:hint="eastAsia" w:ascii="方正小标宋简体" w:hAnsi="方正小标宋简体" w:eastAsia="方正小标宋简体" w:cs="方正小标宋简体"/>
          <w:b w:val="0"/>
          <w:sz w:val="48"/>
          <w:szCs w:val="48"/>
        </w:rPr>
        <w:t>第一部分  概 况</w:t>
      </w:r>
      <w:bookmarkEnd w:id="0"/>
    </w:p>
    <w:p>
      <w:pPr>
        <w:spacing w:line="600" w:lineRule="exact"/>
      </w:pPr>
    </w:p>
    <w:p>
      <w:pPr>
        <w:pStyle w:val="3"/>
        <w:spacing w:line="600" w:lineRule="exact"/>
        <w:ind w:firstLine="602" w:firstLineChars="200"/>
        <w:rPr>
          <w:rFonts w:ascii="黑体" w:hAnsi="黑体" w:eastAsia="黑体"/>
          <w:sz w:val="30"/>
          <w:szCs w:val="30"/>
        </w:rPr>
      </w:pPr>
      <w:bookmarkStart w:id="1" w:name="_Toc78784555"/>
      <w:r>
        <w:rPr>
          <w:rFonts w:hint="eastAsia" w:ascii="黑体" w:hAnsi="黑体" w:eastAsia="黑体"/>
          <w:sz w:val="30"/>
          <w:szCs w:val="30"/>
        </w:rPr>
        <w:t>一、主要职责</w:t>
      </w:r>
      <w:bookmarkEnd w:id="1"/>
    </w:p>
    <w:p>
      <w:pPr>
        <w:spacing w:line="580" w:lineRule="exact"/>
        <w:ind w:firstLine="600" w:firstLineChars="200"/>
        <w:rPr>
          <w:rFonts w:eastAsia="仿宋_GB2312"/>
          <w:sz w:val="30"/>
          <w:szCs w:val="30"/>
        </w:rPr>
      </w:pPr>
      <w:bookmarkStart w:id="2" w:name="_Toc78784556"/>
      <w:r>
        <w:rPr>
          <w:rFonts w:hint="eastAsia" w:eastAsia="仿宋_GB2312"/>
          <w:sz w:val="30"/>
          <w:szCs w:val="30"/>
        </w:rPr>
        <w:t>天津市安宁医院承担着对全市特困人员的收治收养，还面向社会为广大精神及心理疾病患者提供诊疗服务，是集精神科临床医疗、教学、精神及心理康复、心理治疗等为一体的三级乙等专科医院，医保定点医院。是天津市精神残疾等级鉴定、智力残疾等级鉴定定点单位，天津市医学会精神医学分会常委单位，天津市康复医学会精神及智力残疾专业委员会单位，是东丽区严重精神障碍疾病管理单位，东丽区精神病人寄宿托养中心</w:t>
      </w:r>
      <w:r>
        <w:rPr>
          <w:rFonts w:eastAsia="仿宋_GB2312"/>
          <w:sz w:val="30"/>
          <w:szCs w:val="30"/>
        </w:rPr>
        <w:t>。</w:t>
      </w:r>
    </w:p>
    <w:p>
      <w:pPr>
        <w:pStyle w:val="3"/>
        <w:spacing w:line="600" w:lineRule="exact"/>
        <w:ind w:firstLine="602" w:firstLineChars="200"/>
        <w:rPr>
          <w:rFonts w:ascii="黑体" w:hAnsi="黑体" w:eastAsia="黑体"/>
          <w:sz w:val="30"/>
          <w:szCs w:val="30"/>
        </w:rPr>
      </w:pPr>
      <w:r>
        <w:rPr>
          <w:rFonts w:hint="eastAsia" w:ascii="黑体" w:hAnsi="黑体" w:eastAsia="黑体"/>
          <w:sz w:val="30"/>
          <w:szCs w:val="30"/>
        </w:rPr>
        <w:t>二、机构设置</w:t>
      </w:r>
      <w:bookmarkEnd w:id="2"/>
      <w:r>
        <w:rPr>
          <w:rFonts w:hint="eastAsia" w:ascii="黑体" w:hAnsi="黑体" w:eastAsia="黑体"/>
          <w:sz w:val="30"/>
          <w:szCs w:val="30"/>
        </w:rPr>
        <w:t>情况</w:t>
      </w:r>
    </w:p>
    <w:p>
      <w:pPr>
        <w:spacing w:line="580" w:lineRule="exact"/>
        <w:ind w:firstLine="600" w:firstLineChars="200"/>
        <w:jc w:val="both"/>
        <w:rPr>
          <w:rFonts w:eastAsia="仿宋_GB2312"/>
          <w:sz w:val="30"/>
          <w:szCs w:val="30"/>
        </w:rPr>
      </w:pPr>
      <w:r>
        <w:rPr>
          <w:rFonts w:hint="eastAsia" w:eastAsia="仿宋_GB2312"/>
          <w:sz w:val="30"/>
          <w:szCs w:val="30"/>
        </w:rPr>
        <w:t>天津市安宁医院内设20个职能科室；下辖0个预算单位。医院职能科室为办公室、政工科、医政科、护理部、院感科、财务科、行政科、膳食科、业务科、医保科、医技科、门诊科、临床1---7科、康复科。</w:t>
      </w:r>
    </w:p>
    <w:p>
      <w:pPr>
        <w:spacing w:line="580" w:lineRule="exact"/>
        <w:ind w:firstLine="600" w:firstLineChars="200"/>
        <w:jc w:val="both"/>
        <w:rPr>
          <w:rFonts w:eastAsia="仿宋_GB2312"/>
          <w:sz w:val="30"/>
          <w:szCs w:val="30"/>
        </w:rPr>
      </w:pPr>
      <w:r>
        <w:rPr>
          <w:rFonts w:hint="eastAsia" w:eastAsia="仿宋_GB2312"/>
          <w:sz w:val="30"/>
          <w:szCs w:val="30"/>
        </w:rPr>
        <w:t>纳入天津市安宁医院2023年部门预算编制范围的预算单位包括：</w:t>
      </w:r>
    </w:p>
    <w:p>
      <w:pPr>
        <w:spacing w:line="580" w:lineRule="exact"/>
        <w:ind w:firstLine="600" w:firstLineChars="200"/>
        <w:jc w:val="both"/>
        <w:rPr>
          <w:rFonts w:eastAsia="黑体"/>
          <w:w w:val="95"/>
          <w:sz w:val="44"/>
          <w:szCs w:val="44"/>
        </w:rPr>
      </w:pPr>
      <w:r>
        <w:rPr>
          <w:rFonts w:hint="eastAsia" w:eastAsia="仿宋_GB2312"/>
          <w:sz w:val="30"/>
          <w:szCs w:val="30"/>
        </w:rPr>
        <w:t>1.天津市安宁医院</w:t>
      </w:r>
    </w:p>
    <w:p>
      <w:pPr>
        <w:spacing w:line="600" w:lineRule="exact"/>
        <w:ind w:firstLine="600"/>
        <w:jc w:val="both"/>
        <w:rPr>
          <w:rFonts w:eastAsia="黑体"/>
          <w:w w:val="95"/>
          <w:sz w:val="44"/>
          <w:szCs w:val="44"/>
        </w:rPr>
      </w:pPr>
    </w:p>
    <w:p>
      <w:pPr>
        <w:spacing w:line="600" w:lineRule="exact"/>
        <w:jc w:val="both"/>
        <w:rPr>
          <w:rFonts w:eastAsia="黑体"/>
          <w:w w:val="95"/>
          <w:sz w:val="44"/>
          <w:szCs w:val="44"/>
        </w:rPr>
      </w:pPr>
      <w:r>
        <w:rPr>
          <w:rFonts w:hint="eastAsia" w:eastAsia="黑体"/>
          <w:w w:val="95"/>
          <w:sz w:val="44"/>
          <w:szCs w:val="44"/>
        </w:rPr>
        <w:br w:type="page"/>
      </w:r>
    </w:p>
    <w:p>
      <w:pPr>
        <w:pStyle w:val="2"/>
        <w:spacing w:line="600" w:lineRule="exact"/>
        <w:jc w:val="center"/>
        <w:rPr>
          <w:rFonts w:ascii="方正小标宋简体" w:hAnsi="方正小标宋简体" w:eastAsia="方正小标宋简体" w:cs="方正小标宋简体"/>
          <w:b w:val="0"/>
          <w:sz w:val="48"/>
          <w:szCs w:val="48"/>
        </w:rPr>
      </w:pPr>
      <w:bookmarkStart w:id="3" w:name="_Toc78784570"/>
      <w:r>
        <w:rPr>
          <w:rFonts w:ascii="方正小标宋简体" w:hAnsi="方正小标宋简体" w:eastAsia="方正小标宋简体" w:cs="方正小标宋简体"/>
          <w:b w:val="0"/>
          <w:sz w:val="48"/>
          <w:szCs w:val="48"/>
        </w:rPr>
        <w:t>第</w:t>
      </w:r>
      <w:r>
        <w:rPr>
          <w:rFonts w:hint="eastAsia" w:ascii="方正小标宋简体" w:hAnsi="方正小标宋简体" w:eastAsia="方正小标宋简体" w:cs="方正小标宋简体"/>
          <w:b w:val="0"/>
          <w:sz w:val="48"/>
          <w:szCs w:val="48"/>
        </w:rPr>
        <w:t>二</w:t>
      </w:r>
      <w:r>
        <w:rPr>
          <w:rFonts w:ascii="方正小标宋简体" w:hAnsi="方正小标宋简体" w:eastAsia="方正小标宋简体" w:cs="方正小标宋简体"/>
          <w:b w:val="0"/>
          <w:sz w:val="48"/>
          <w:szCs w:val="48"/>
        </w:rPr>
        <w:t xml:space="preserve">部分  </w:t>
      </w:r>
      <w:r>
        <w:rPr>
          <w:rFonts w:hint="eastAsia" w:ascii="方正小标宋简体" w:hAnsi="方正小标宋简体" w:eastAsia="方正小标宋简体" w:cs="方正小标宋简体"/>
          <w:b w:val="0"/>
          <w:spacing w:val="-20"/>
          <w:sz w:val="48"/>
          <w:szCs w:val="48"/>
        </w:rPr>
        <w:t>2024</w:t>
      </w:r>
      <w:r>
        <w:rPr>
          <w:rFonts w:ascii="方正小标宋简体" w:hAnsi="方正小标宋简体" w:eastAsia="方正小标宋简体" w:cs="方正小标宋简体"/>
          <w:b w:val="0"/>
          <w:spacing w:val="-20"/>
          <w:sz w:val="48"/>
          <w:szCs w:val="48"/>
        </w:rPr>
        <w:t>年部门</w:t>
      </w:r>
      <w:r>
        <w:rPr>
          <w:rFonts w:hint="eastAsia" w:ascii="方正小标宋简体" w:hAnsi="方正小标宋简体" w:eastAsia="方正小标宋简体" w:cs="方正小标宋简体"/>
          <w:b w:val="0"/>
          <w:spacing w:val="-20"/>
          <w:sz w:val="48"/>
          <w:szCs w:val="48"/>
        </w:rPr>
        <w:t>预算情况</w:t>
      </w:r>
      <w:r>
        <w:rPr>
          <w:rFonts w:ascii="方正小标宋简体" w:hAnsi="方正小标宋简体" w:eastAsia="方正小标宋简体" w:cs="方正小标宋简体"/>
          <w:b w:val="0"/>
          <w:spacing w:val="-20"/>
          <w:sz w:val="48"/>
          <w:szCs w:val="48"/>
        </w:rPr>
        <w:t>说明</w:t>
      </w:r>
      <w:bookmarkEnd w:id="3"/>
    </w:p>
    <w:p>
      <w:pPr>
        <w:spacing w:line="600" w:lineRule="exact"/>
        <w:ind w:firstLine="600" w:firstLineChars="200"/>
        <w:rPr>
          <w:rFonts w:ascii="黑体" w:eastAsia="黑体"/>
          <w:sz w:val="30"/>
          <w:szCs w:val="30"/>
        </w:rPr>
      </w:pPr>
    </w:p>
    <w:p>
      <w:pPr>
        <w:pStyle w:val="3"/>
        <w:spacing w:line="600" w:lineRule="exact"/>
        <w:ind w:firstLine="600" w:firstLineChars="200"/>
        <w:rPr>
          <w:rFonts w:ascii="黑体" w:hAnsi="黑体" w:eastAsia="黑体"/>
          <w:b w:val="0"/>
          <w:sz w:val="30"/>
          <w:szCs w:val="30"/>
        </w:rPr>
      </w:pPr>
      <w:bookmarkStart w:id="4" w:name="_Toc78784571"/>
      <w:r>
        <w:rPr>
          <w:rFonts w:hint="eastAsia" w:ascii="黑体" w:hAnsi="黑体" w:eastAsia="黑体"/>
          <w:b w:val="0"/>
          <w:sz w:val="30"/>
          <w:szCs w:val="30"/>
        </w:rPr>
        <w:t>一、关于收支总体情况</w:t>
      </w:r>
      <w:bookmarkEnd w:id="4"/>
      <w:r>
        <w:rPr>
          <w:rFonts w:hint="eastAsia" w:ascii="黑体" w:hAnsi="黑体" w:eastAsia="黑体"/>
          <w:b w:val="0"/>
          <w:sz w:val="30"/>
          <w:szCs w:val="30"/>
        </w:rPr>
        <w:t>表的说明</w:t>
      </w:r>
    </w:p>
    <w:p>
      <w:pPr>
        <w:spacing w:line="600" w:lineRule="exact"/>
        <w:ind w:firstLine="150" w:firstLineChars="50"/>
        <w:jc w:val="both"/>
        <w:rPr>
          <w:rFonts w:eastAsia="仿宋_GB2312"/>
          <w:sz w:val="30"/>
          <w:szCs w:val="30"/>
        </w:rPr>
      </w:pPr>
      <w:r>
        <w:rPr>
          <w:rFonts w:hint="eastAsia" w:eastAsia="仿宋_GB2312"/>
          <w:sz w:val="30"/>
          <w:szCs w:val="30"/>
        </w:rPr>
        <w:t xml:space="preserve">    按照综合预算的原则，天津市安宁医院所有收入和支出均纳入部门预算管理。收入包括：一般公共预算拨款收入5617.6</w:t>
      </w:r>
      <w:r>
        <w:rPr>
          <w:rFonts w:eastAsia="仿宋_GB2312"/>
          <w:sz w:val="30"/>
          <w:szCs w:val="30"/>
        </w:rPr>
        <w:t>万元、</w:t>
      </w:r>
      <w:r>
        <w:rPr>
          <w:rFonts w:hint="eastAsia" w:eastAsia="仿宋_GB2312"/>
          <w:sz w:val="30"/>
          <w:szCs w:val="30"/>
        </w:rPr>
        <w:t>政府性基金预算拨款收入449.0</w:t>
      </w:r>
      <w:r>
        <w:rPr>
          <w:rFonts w:eastAsia="仿宋_GB2312"/>
          <w:sz w:val="30"/>
          <w:szCs w:val="30"/>
        </w:rPr>
        <w:t>万元、</w:t>
      </w:r>
      <w:r>
        <w:rPr>
          <w:rFonts w:hint="eastAsia" w:eastAsia="仿宋_GB2312"/>
          <w:sz w:val="30"/>
          <w:szCs w:val="30"/>
        </w:rPr>
        <w:t>国有资本经营预算拨款收入0.0</w:t>
      </w:r>
      <w:r>
        <w:rPr>
          <w:rFonts w:eastAsia="仿宋_GB2312"/>
          <w:sz w:val="30"/>
          <w:szCs w:val="30"/>
        </w:rPr>
        <w:t>万元</w:t>
      </w:r>
      <w:r>
        <w:rPr>
          <w:rFonts w:hint="eastAsia" w:eastAsia="仿宋_GB2312"/>
          <w:sz w:val="30"/>
          <w:szCs w:val="30"/>
        </w:rPr>
        <w:t>、财政专户管理资金收入0.0</w:t>
      </w:r>
      <w:r>
        <w:rPr>
          <w:rFonts w:eastAsia="仿宋_GB2312"/>
          <w:sz w:val="30"/>
          <w:szCs w:val="30"/>
        </w:rPr>
        <w:t>万元</w:t>
      </w:r>
      <w:r>
        <w:rPr>
          <w:rFonts w:hint="eastAsia" w:eastAsia="仿宋_GB2312"/>
          <w:sz w:val="30"/>
          <w:szCs w:val="30"/>
        </w:rPr>
        <w:t>、事业收入6200.0</w:t>
      </w:r>
      <w:r>
        <w:rPr>
          <w:rFonts w:eastAsia="仿宋_GB2312"/>
          <w:sz w:val="30"/>
          <w:szCs w:val="30"/>
        </w:rPr>
        <w:t>万元、</w:t>
      </w:r>
      <w:r>
        <w:rPr>
          <w:rFonts w:hint="eastAsia" w:eastAsia="仿宋_GB2312"/>
          <w:sz w:val="30"/>
          <w:szCs w:val="30"/>
        </w:rPr>
        <w:t>事业单位经营收入0.0</w:t>
      </w:r>
      <w:r>
        <w:rPr>
          <w:rFonts w:eastAsia="仿宋_GB2312"/>
          <w:sz w:val="30"/>
          <w:szCs w:val="30"/>
        </w:rPr>
        <w:t>万元、</w:t>
      </w:r>
      <w:r>
        <w:rPr>
          <w:rFonts w:hint="eastAsia" w:eastAsia="仿宋_GB2312"/>
          <w:sz w:val="30"/>
          <w:szCs w:val="30"/>
        </w:rPr>
        <w:t>上级补助收入0.0</w:t>
      </w:r>
      <w:r>
        <w:rPr>
          <w:rFonts w:eastAsia="仿宋_GB2312"/>
          <w:sz w:val="30"/>
          <w:szCs w:val="30"/>
        </w:rPr>
        <w:t>万元、</w:t>
      </w:r>
      <w:r>
        <w:rPr>
          <w:rFonts w:hint="eastAsia" w:eastAsia="仿宋_GB2312"/>
          <w:sz w:val="30"/>
          <w:szCs w:val="30"/>
        </w:rPr>
        <w:t>附属单位上缴收入0.0</w:t>
      </w:r>
      <w:r>
        <w:rPr>
          <w:rFonts w:eastAsia="仿宋_GB2312"/>
          <w:sz w:val="30"/>
          <w:szCs w:val="30"/>
        </w:rPr>
        <w:t>万元</w:t>
      </w:r>
      <w:r>
        <w:rPr>
          <w:rFonts w:hint="eastAsia" w:eastAsia="仿宋_GB2312"/>
          <w:sz w:val="30"/>
          <w:szCs w:val="30"/>
        </w:rPr>
        <w:t>、其他收入470.0</w:t>
      </w:r>
      <w:r>
        <w:rPr>
          <w:rFonts w:eastAsia="仿宋_GB2312"/>
          <w:sz w:val="30"/>
          <w:szCs w:val="30"/>
        </w:rPr>
        <w:t>万元</w:t>
      </w:r>
      <w:r>
        <w:rPr>
          <w:rFonts w:hint="eastAsia" w:eastAsia="仿宋_GB2312"/>
          <w:sz w:val="30"/>
          <w:szCs w:val="30"/>
        </w:rPr>
        <w:t>、</w:t>
      </w:r>
      <w:r>
        <w:rPr>
          <w:rFonts w:eastAsia="仿宋_GB2312"/>
          <w:sz w:val="30"/>
          <w:szCs w:val="30"/>
        </w:rPr>
        <w:t>上年结转结余</w:t>
      </w:r>
      <w:r>
        <w:rPr>
          <w:rFonts w:hint="eastAsia" w:eastAsia="仿宋_GB2312"/>
          <w:sz w:val="30"/>
          <w:szCs w:val="30"/>
        </w:rPr>
        <w:t>2574.6</w:t>
      </w:r>
      <w:r>
        <w:rPr>
          <w:rFonts w:eastAsia="仿宋_GB2312"/>
          <w:sz w:val="30"/>
          <w:szCs w:val="30"/>
        </w:rPr>
        <w:t>万元</w:t>
      </w:r>
      <w:r>
        <w:rPr>
          <w:rFonts w:hint="eastAsia" w:eastAsia="仿宋_GB2312"/>
          <w:sz w:val="30"/>
          <w:szCs w:val="30"/>
        </w:rPr>
        <w:t>；支出包括：社会保障和就业支出12577.8</w:t>
      </w:r>
      <w:r>
        <w:rPr>
          <w:rFonts w:eastAsia="仿宋_GB2312"/>
          <w:sz w:val="30"/>
          <w:szCs w:val="30"/>
        </w:rPr>
        <w:t>万元</w:t>
      </w:r>
      <w:r>
        <w:rPr>
          <w:rFonts w:hint="eastAsia" w:eastAsia="仿宋_GB2312"/>
          <w:sz w:val="30"/>
          <w:szCs w:val="30"/>
        </w:rPr>
        <w:t>、卫生健康支出391.8</w:t>
      </w:r>
      <w:r>
        <w:rPr>
          <w:rFonts w:eastAsia="仿宋_GB2312"/>
          <w:sz w:val="30"/>
          <w:szCs w:val="30"/>
        </w:rPr>
        <w:t>万元</w:t>
      </w:r>
      <w:r>
        <w:rPr>
          <w:rFonts w:hint="eastAsia" w:eastAsia="仿宋_GB2312"/>
          <w:sz w:val="30"/>
          <w:szCs w:val="30"/>
        </w:rPr>
        <w:t>、其他支出468.7万元、债务付息支出14.3万元。天津市安宁医院2024年收支总预算15311.2</w:t>
      </w:r>
      <w:r>
        <w:rPr>
          <w:rFonts w:eastAsia="仿宋_GB2312"/>
          <w:sz w:val="30"/>
          <w:szCs w:val="30"/>
        </w:rPr>
        <w:t>万元</w:t>
      </w:r>
      <w:r>
        <w:rPr>
          <w:rFonts w:hint="eastAsia" w:eastAsia="仿宋_GB2312"/>
          <w:sz w:val="30"/>
          <w:szCs w:val="30"/>
        </w:rPr>
        <w:t>。</w:t>
      </w:r>
    </w:p>
    <w:p>
      <w:pPr>
        <w:pStyle w:val="3"/>
        <w:spacing w:line="600" w:lineRule="exact"/>
        <w:ind w:firstLine="600" w:firstLineChars="200"/>
        <w:rPr>
          <w:rFonts w:ascii="黑体" w:hAnsi="黑体" w:eastAsia="黑体" w:cs="仿宋_GB2312"/>
          <w:b w:val="0"/>
          <w:sz w:val="30"/>
          <w:szCs w:val="30"/>
        </w:rPr>
      </w:pPr>
      <w:bookmarkStart w:id="5" w:name="_Toc78784572"/>
      <w:r>
        <w:rPr>
          <w:rFonts w:hint="eastAsia" w:ascii="黑体" w:hAnsi="黑体" w:eastAsia="黑体" w:cs="仿宋_GB2312"/>
          <w:b w:val="0"/>
          <w:sz w:val="30"/>
          <w:szCs w:val="30"/>
        </w:rPr>
        <w:t>二、关于收入总体情况</w:t>
      </w:r>
      <w:bookmarkEnd w:id="5"/>
      <w:r>
        <w:rPr>
          <w:rFonts w:hint="eastAsia" w:ascii="黑体" w:hAnsi="黑体" w:eastAsia="黑体" w:cs="仿宋_GB2312"/>
          <w:b w:val="0"/>
          <w:sz w:val="30"/>
          <w:szCs w:val="30"/>
        </w:rPr>
        <w:t>表的说明</w:t>
      </w:r>
    </w:p>
    <w:p>
      <w:pPr>
        <w:spacing w:line="600" w:lineRule="exact"/>
        <w:ind w:firstLine="600" w:firstLineChars="200"/>
        <w:jc w:val="both"/>
        <w:rPr>
          <w:rFonts w:eastAsia="仿宋_GB2312"/>
          <w:sz w:val="30"/>
          <w:szCs w:val="30"/>
        </w:rPr>
      </w:pPr>
      <w:r>
        <w:rPr>
          <w:rFonts w:hint="eastAsia" w:eastAsia="仿宋_GB2312"/>
          <w:sz w:val="30"/>
          <w:szCs w:val="30"/>
        </w:rPr>
        <w:t>天津市安宁医院2024</w:t>
      </w:r>
      <w:r>
        <w:rPr>
          <w:rFonts w:eastAsia="仿宋_GB2312"/>
          <w:sz w:val="30"/>
          <w:szCs w:val="30"/>
        </w:rPr>
        <w:t>年</w:t>
      </w:r>
      <w:r>
        <w:rPr>
          <w:rFonts w:hint="eastAsia" w:eastAsia="仿宋_GB2312"/>
          <w:sz w:val="30"/>
          <w:szCs w:val="30"/>
        </w:rPr>
        <w:t>部门预算</w:t>
      </w:r>
      <w:r>
        <w:rPr>
          <w:rFonts w:eastAsia="仿宋_GB2312"/>
          <w:sz w:val="30"/>
          <w:szCs w:val="30"/>
        </w:rPr>
        <w:t>收入</w:t>
      </w:r>
      <w:r>
        <w:rPr>
          <w:rFonts w:hint="eastAsia" w:eastAsia="仿宋_GB2312"/>
          <w:sz w:val="30"/>
          <w:szCs w:val="30"/>
        </w:rPr>
        <w:t>15311.2</w:t>
      </w:r>
      <w:r>
        <w:rPr>
          <w:rFonts w:eastAsia="仿宋_GB2312"/>
          <w:sz w:val="30"/>
          <w:szCs w:val="30"/>
        </w:rPr>
        <w:t>万元，与</w:t>
      </w:r>
      <w:r>
        <w:rPr>
          <w:rFonts w:hint="eastAsia" w:eastAsia="仿宋_GB2312"/>
          <w:sz w:val="30"/>
          <w:szCs w:val="30"/>
        </w:rPr>
        <w:t>2023</w:t>
      </w:r>
      <w:r>
        <w:rPr>
          <w:rFonts w:eastAsia="仿宋_GB2312"/>
          <w:sz w:val="30"/>
          <w:szCs w:val="30"/>
        </w:rPr>
        <w:t>年</w:t>
      </w:r>
      <w:r>
        <w:rPr>
          <w:rFonts w:hint="eastAsia" w:eastAsia="仿宋_GB2312"/>
          <w:sz w:val="30"/>
          <w:szCs w:val="30"/>
        </w:rPr>
        <w:t>预</w:t>
      </w:r>
      <w:r>
        <w:rPr>
          <w:rFonts w:eastAsia="仿宋_GB2312"/>
          <w:sz w:val="30"/>
          <w:szCs w:val="30"/>
        </w:rPr>
        <w:t>算相比增加</w:t>
      </w:r>
      <w:r>
        <w:rPr>
          <w:rFonts w:hint="eastAsia" w:eastAsia="仿宋_GB2312"/>
          <w:sz w:val="30"/>
          <w:szCs w:val="30"/>
        </w:rPr>
        <w:t>925.7</w:t>
      </w:r>
      <w:r>
        <w:rPr>
          <w:rFonts w:eastAsia="仿宋_GB2312"/>
          <w:sz w:val="30"/>
          <w:szCs w:val="30"/>
        </w:rPr>
        <w:t>万元，</w:t>
      </w:r>
      <w:r>
        <w:rPr>
          <w:rFonts w:hint="eastAsia" w:eastAsia="仿宋_GB2312"/>
          <w:sz w:val="30"/>
          <w:szCs w:val="30"/>
        </w:rPr>
        <w:t>主要原因是一般公共预算收入减少109.0万元，为未休年假天数减少降低财政补助额度；政府性基金预算收入增加52.1万元，为新增大型修缮及专用设备购置项目；事业收入增加200万元，为门诊及住院人数上升；其他收入增加108万元，为区街特困养员补贴增加；上年结转结余增加674.6万元。</w:t>
      </w:r>
      <w:r>
        <w:rPr>
          <w:rFonts w:eastAsia="仿宋_GB2312"/>
          <w:sz w:val="30"/>
          <w:szCs w:val="30"/>
        </w:rPr>
        <w:t>其中：</w:t>
      </w:r>
      <w:r>
        <w:rPr>
          <w:rFonts w:hint="eastAsia" w:eastAsia="仿宋_GB2312"/>
          <w:sz w:val="30"/>
          <w:szCs w:val="30"/>
        </w:rPr>
        <w:t>上年结转结余2574.6</w:t>
      </w:r>
      <w:r>
        <w:rPr>
          <w:rFonts w:eastAsia="仿宋_GB2312"/>
          <w:sz w:val="30"/>
          <w:szCs w:val="30"/>
        </w:rPr>
        <w:t>万元</w:t>
      </w:r>
      <w:r>
        <w:rPr>
          <w:rFonts w:hint="eastAsia" w:eastAsia="仿宋_GB2312"/>
          <w:sz w:val="30"/>
          <w:szCs w:val="30"/>
        </w:rPr>
        <w:t>，占16.8</w:t>
      </w:r>
      <w:r>
        <w:rPr>
          <w:rFonts w:eastAsia="仿宋_GB2312"/>
          <w:sz w:val="30"/>
          <w:szCs w:val="30"/>
        </w:rPr>
        <w:t>%；一般公共预算</w:t>
      </w:r>
      <w:r>
        <w:rPr>
          <w:rFonts w:hint="eastAsia" w:eastAsia="仿宋_GB2312"/>
          <w:sz w:val="30"/>
          <w:szCs w:val="30"/>
        </w:rPr>
        <w:t>5617.6</w:t>
      </w:r>
      <w:r>
        <w:rPr>
          <w:rFonts w:eastAsia="仿宋_GB2312"/>
          <w:sz w:val="30"/>
          <w:szCs w:val="30"/>
        </w:rPr>
        <w:t>万元，占</w:t>
      </w:r>
      <w:r>
        <w:rPr>
          <w:rFonts w:hint="eastAsia" w:eastAsia="仿宋_GB2312"/>
          <w:sz w:val="30"/>
          <w:szCs w:val="30"/>
        </w:rPr>
        <w:t>36.7</w:t>
      </w:r>
      <w:r>
        <w:rPr>
          <w:rFonts w:eastAsia="仿宋_GB2312"/>
          <w:sz w:val="30"/>
          <w:szCs w:val="30"/>
        </w:rPr>
        <w:t>%；政府性基金预算</w:t>
      </w:r>
      <w:r>
        <w:rPr>
          <w:rFonts w:hint="eastAsia" w:eastAsia="仿宋_GB2312"/>
          <w:sz w:val="30"/>
          <w:szCs w:val="30"/>
        </w:rPr>
        <w:t>449.0</w:t>
      </w:r>
      <w:r>
        <w:rPr>
          <w:rFonts w:eastAsia="仿宋_GB2312"/>
          <w:sz w:val="30"/>
          <w:szCs w:val="30"/>
        </w:rPr>
        <w:t>万元，占</w:t>
      </w:r>
      <w:r>
        <w:rPr>
          <w:rFonts w:hint="eastAsia" w:eastAsia="仿宋_GB2312"/>
          <w:sz w:val="30"/>
          <w:szCs w:val="30"/>
        </w:rPr>
        <w:t>2.9</w:t>
      </w:r>
      <w:r>
        <w:rPr>
          <w:rFonts w:eastAsia="仿宋_GB2312"/>
          <w:sz w:val="30"/>
          <w:szCs w:val="30"/>
        </w:rPr>
        <w:t>%；国有资本经营预算</w:t>
      </w:r>
      <w:r>
        <w:rPr>
          <w:rFonts w:hint="eastAsia" w:eastAsia="仿宋_GB2312"/>
          <w:sz w:val="30"/>
          <w:szCs w:val="30"/>
        </w:rPr>
        <w:t>0.0</w:t>
      </w:r>
      <w:r>
        <w:rPr>
          <w:rFonts w:eastAsia="仿宋_GB2312"/>
          <w:sz w:val="30"/>
          <w:szCs w:val="30"/>
        </w:rPr>
        <w:t>万元，占</w:t>
      </w:r>
      <w:r>
        <w:rPr>
          <w:rFonts w:hint="eastAsia" w:eastAsia="仿宋_GB2312"/>
          <w:sz w:val="30"/>
          <w:szCs w:val="30"/>
        </w:rPr>
        <w:t>0.0</w:t>
      </w:r>
      <w:r>
        <w:rPr>
          <w:rFonts w:eastAsia="仿宋_GB2312"/>
          <w:sz w:val="30"/>
          <w:szCs w:val="30"/>
        </w:rPr>
        <w:t>%；</w:t>
      </w:r>
      <w:r>
        <w:rPr>
          <w:rFonts w:hint="eastAsia" w:eastAsia="仿宋_GB2312"/>
          <w:sz w:val="30"/>
          <w:szCs w:val="30"/>
        </w:rPr>
        <w:t>财政专户管理资金0.0</w:t>
      </w:r>
      <w:r>
        <w:rPr>
          <w:rFonts w:eastAsia="仿宋_GB2312"/>
          <w:sz w:val="30"/>
          <w:szCs w:val="30"/>
        </w:rPr>
        <w:t>万元，占</w:t>
      </w:r>
      <w:r>
        <w:rPr>
          <w:rFonts w:hint="eastAsia" w:eastAsia="仿宋_GB2312"/>
          <w:sz w:val="30"/>
          <w:szCs w:val="30"/>
        </w:rPr>
        <w:t>0.0</w:t>
      </w:r>
      <w:r>
        <w:rPr>
          <w:rFonts w:eastAsia="仿宋_GB2312"/>
          <w:sz w:val="30"/>
          <w:szCs w:val="30"/>
        </w:rPr>
        <w:t>%；事业收入</w:t>
      </w:r>
      <w:r>
        <w:rPr>
          <w:rFonts w:hint="eastAsia" w:eastAsia="仿宋_GB2312"/>
          <w:sz w:val="30"/>
          <w:szCs w:val="30"/>
        </w:rPr>
        <w:t>6200.0</w:t>
      </w:r>
      <w:r>
        <w:rPr>
          <w:rFonts w:eastAsia="仿宋_GB2312"/>
          <w:sz w:val="30"/>
          <w:szCs w:val="30"/>
        </w:rPr>
        <w:t>万元，占</w:t>
      </w:r>
      <w:r>
        <w:rPr>
          <w:rFonts w:hint="eastAsia" w:eastAsia="仿宋_GB2312"/>
          <w:sz w:val="30"/>
          <w:szCs w:val="30"/>
        </w:rPr>
        <w:t>40.5</w:t>
      </w:r>
      <w:r>
        <w:rPr>
          <w:rFonts w:eastAsia="仿宋_GB2312"/>
          <w:sz w:val="30"/>
          <w:szCs w:val="30"/>
        </w:rPr>
        <w:t>%；</w:t>
      </w:r>
      <w:r>
        <w:rPr>
          <w:rFonts w:hint="eastAsia" w:eastAsia="仿宋_GB2312"/>
          <w:sz w:val="30"/>
          <w:szCs w:val="30"/>
        </w:rPr>
        <w:t>事业单位</w:t>
      </w:r>
      <w:r>
        <w:rPr>
          <w:rFonts w:eastAsia="仿宋_GB2312"/>
          <w:sz w:val="30"/>
          <w:szCs w:val="30"/>
        </w:rPr>
        <w:t>经营收入</w:t>
      </w:r>
      <w:r>
        <w:rPr>
          <w:rFonts w:hint="eastAsia" w:eastAsia="仿宋_GB2312"/>
          <w:sz w:val="30"/>
          <w:szCs w:val="30"/>
        </w:rPr>
        <w:t>0.0</w:t>
      </w:r>
      <w:r>
        <w:rPr>
          <w:rFonts w:eastAsia="仿宋_GB2312"/>
          <w:sz w:val="30"/>
          <w:szCs w:val="30"/>
        </w:rPr>
        <w:t>万元，占</w:t>
      </w:r>
      <w:r>
        <w:rPr>
          <w:rFonts w:hint="eastAsia" w:eastAsia="仿宋_GB2312"/>
          <w:sz w:val="30"/>
          <w:szCs w:val="30"/>
        </w:rPr>
        <w:t>0.0</w:t>
      </w:r>
      <w:r>
        <w:rPr>
          <w:rFonts w:eastAsia="仿宋_GB2312"/>
          <w:sz w:val="30"/>
          <w:szCs w:val="30"/>
        </w:rPr>
        <w:t>%；上级补助收入</w:t>
      </w:r>
      <w:r>
        <w:rPr>
          <w:rFonts w:hint="eastAsia" w:eastAsia="仿宋_GB2312"/>
          <w:sz w:val="30"/>
          <w:szCs w:val="30"/>
        </w:rPr>
        <w:t>0.0</w:t>
      </w:r>
      <w:r>
        <w:rPr>
          <w:rFonts w:eastAsia="仿宋_GB2312"/>
          <w:sz w:val="30"/>
          <w:szCs w:val="30"/>
        </w:rPr>
        <w:t>万元，占</w:t>
      </w:r>
      <w:r>
        <w:rPr>
          <w:rFonts w:hint="eastAsia" w:eastAsia="仿宋_GB2312"/>
          <w:sz w:val="30"/>
          <w:szCs w:val="30"/>
        </w:rPr>
        <w:t>0.0</w:t>
      </w:r>
      <w:r>
        <w:rPr>
          <w:rFonts w:eastAsia="仿宋_GB2312"/>
          <w:sz w:val="30"/>
          <w:szCs w:val="30"/>
        </w:rPr>
        <w:t>%；附属单位上缴收入</w:t>
      </w:r>
      <w:r>
        <w:rPr>
          <w:rFonts w:hint="eastAsia" w:eastAsia="仿宋_GB2312"/>
          <w:sz w:val="30"/>
          <w:szCs w:val="30"/>
        </w:rPr>
        <w:t>0.0</w:t>
      </w:r>
      <w:r>
        <w:rPr>
          <w:rFonts w:eastAsia="仿宋_GB2312"/>
          <w:sz w:val="30"/>
          <w:szCs w:val="30"/>
        </w:rPr>
        <w:t>万元，占</w:t>
      </w:r>
      <w:r>
        <w:rPr>
          <w:rFonts w:hint="eastAsia" w:eastAsia="仿宋_GB2312"/>
          <w:sz w:val="30"/>
          <w:szCs w:val="30"/>
        </w:rPr>
        <w:t>0.0</w:t>
      </w:r>
      <w:r>
        <w:rPr>
          <w:rFonts w:eastAsia="仿宋_GB2312"/>
          <w:sz w:val="30"/>
          <w:szCs w:val="30"/>
        </w:rPr>
        <w:t>%；其他收入</w:t>
      </w:r>
      <w:r>
        <w:rPr>
          <w:rFonts w:hint="eastAsia" w:eastAsia="仿宋_GB2312"/>
          <w:sz w:val="30"/>
          <w:szCs w:val="30"/>
        </w:rPr>
        <w:t>470.0</w:t>
      </w:r>
      <w:r>
        <w:rPr>
          <w:rFonts w:eastAsia="仿宋_GB2312"/>
          <w:sz w:val="30"/>
          <w:szCs w:val="30"/>
        </w:rPr>
        <w:t>万元，占</w:t>
      </w:r>
      <w:r>
        <w:rPr>
          <w:rFonts w:hint="eastAsia" w:eastAsia="仿宋_GB2312"/>
          <w:sz w:val="30"/>
          <w:szCs w:val="30"/>
        </w:rPr>
        <w:t>3.1</w:t>
      </w:r>
      <w:r>
        <w:rPr>
          <w:rFonts w:eastAsia="仿宋_GB2312"/>
          <w:sz w:val="30"/>
          <w:szCs w:val="30"/>
        </w:rPr>
        <w:t>%</w:t>
      </w:r>
      <w:r>
        <w:rPr>
          <w:rFonts w:hint="eastAsia" w:eastAsia="仿宋_GB2312"/>
          <w:sz w:val="30"/>
          <w:szCs w:val="30"/>
        </w:rPr>
        <w:t>。</w:t>
      </w:r>
    </w:p>
    <w:p>
      <w:pPr>
        <w:pStyle w:val="3"/>
        <w:spacing w:line="600" w:lineRule="exact"/>
        <w:ind w:firstLine="600" w:firstLineChars="200"/>
        <w:rPr>
          <w:rFonts w:ascii="黑体" w:hAnsi="黑体" w:eastAsia="黑体" w:cs="仿宋_GB2312"/>
          <w:b w:val="0"/>
          <w:sz w:val="30"/>
          <w:szCs w:val="30"/>
        </w:rPr>
      </w:pPr>
      <w:bookmarkStart w:id="6" w:name="_Toc78784573"/>
      <w:r>
        <w:rPr>
          <w:rFonts w:hint="eastAsia" w:ascii="黑体" w:hAnsi="黑体" w:eastAsia="黑体" w:cs="仿宋_GB2312"/>
          <w:b w:val="0"/>
          <w:sz w:val="30"/>
          <w:szCs w:val="30"/>
        </w:rPr>
        <w:t>三、关于</w:t>
      </w:r>
      <w:r>
        <w:rPr>
          <w:rFonts w:ascii="黑体" w:hAnsi="黑体" w:eastAsia="黑体" w:cs="仿宋_GB2312"/>
          <w:b w:val="0"/>
          <w:sz w:val="30"/>
          <w:szCs w:val="30"/>
        </w:rPr>
        <w:t>支出</w:t>
      </w:r>
      <w:r>
        <w:rPr>
          <w:rFonts w:hint="eastAsia" w:ascii="黑体" w:hAnsi="黑体" w:eastAsia="黑体" w:cs="仿宋_GB2312"/>
          <w:b w:val="0"/>
          <w:sz w:val="30"/>
          <w:szCs w:val="30"/>
        </w:rPr>
        <w:t>总体情况表</w:t>
      </w:r>
      <w:bookmarkEnd w:id="6"/>
      <w:r>
        <w:rPr>
          <w:rFonts w:hint="eastAsia" w:ascii="黑体" w:hAnsi="黑体" w:eastAsia="黑体" w:cs="仿宋_GB2312"/>
          <w:b w:val="0"/>
          <w:sz w:val="30"/>
          <w:szCs w:val="30"/>
        </w:rPr>
        <w:t>的说明</w:t>
      </w:r>
    </w:p>
    <w:p>
      <w:pPr>
        <w:spacing w:line="600" w:lineRule="exact"/>
        <w:ind w:firstLine="600" w:firstLineChars="200"/>
        <w:jc w:val="both"/>
        <w:rPr>
          <w:rFonts w:eastAsia="仿宋_GB2312"/>
          <w:sz w:val="30"/>
          <w:szCs w:val="30"/>
          <w:highlight w:val="none"/>
        </w:rPr>
      </w:pPr>
      <w:r>
        <w:rPr>
          <w:rFonts w:hint="eastAsia" w:eastAsia="仿宋_GB2312"/>
          <w:sz w:val="30"/>
          <w:szCs w:val="30"/>
          <w:highlight w:val="none"/>
        </w:rPr>
        <w:t>天津市安宁医院2024</w:t>
      </w:r>
      <w:r>
        <w:rPr>
          <w:rFonts w:eastAsia="仿宋_GB2312"/>
          <w:sz w:val="30"/>
          <w:szCs w:val="30"/>
          <w:highlight w:val="none"/>
        </w:rPr>
        <w:t>年</w:t>
      </w:r>
      <w:r>
        <w:rPr>
          <w:rFonts w:hint="eastAsia" w:eastAsia="仿宋_GB2312"/>
          <w:sz w:val="30"/>
          <w:szCs w:val="30"/>
          <w:highlight w:val="none"/>
        </w:rPr>
        <w:t>支出预算1</w:t>
      </w:r>
      <w:r>
        <w:rPr>
          <w:rFonts w:eastAsia="仿宋_GB2312"/>
          <w:sz w:val="30"/>
          <w:szCs w:val="30"/>
          <w:highlight w:val="none"/>
        </w:rPr>
        <w:t>3452.6</w:t>
      </w:r>
      <w:r>
        <w:rPr>
          <w:rFonts w:hint="eastAsia" w:eastAsia="仿宋_GB2312"/>
          <w:sz w:val="30"/>
          <w:szCs w:val="30"/>
          <w:highlight w:val="none"/>
        </w:rPr>
        <w:t>万元</w:t>
      </w:r>
      <w:r>
        <w:rPr>
          <w:rFonts w:eastAsia="仿宋_GB2312"/>
          <w:sz w:val="30"/>
          <w:szCs w:val="30"/>
          <w:highlight w:val="none"/>
        </w:rPr>
        <w:t>，与</w:t>
      </w:r>
      <w:r>
        <w:rPr>
          <w:rFonts w:hint="eastAsia" w:eastAsia="仿宋_GB2312"/>
          <w:sz w:val="30"/>
          <w:szCs w:val="30"/>
          <w:highlight w:val="none"/>
        </w:rPr>
        <w:t>2023</w:t>
      </w:r>
      <w:r>
        <w:rPr>
          <w:rFonts w:eastAsia="仿宋_GB2312"/>
          <w:sz w:val="30"/>
          <w:szCs w:val="30"/>
          <w:highlight w:val="none"/>
        </w:rPr>
        <w:t>年</w:t>
      </w:r>
      <w:r>
        <w:rPr>
          <w:rFonts w:hint="eastAsia" w:eastAsia="仿宋_GB2312"/>
          <w:sz w:val="30"/>
          <w:szCs w:val="30"/>
          <w:highlight w:val="none"/>
        </w:rPr>
        <w:t>预</w:t>
      </w:r>
      <w:r>
        <w:rPr>
          <w:rFonts w:eastAsia="仿宋_GB2312"/>
          <w:sz w:val="30"/>
          <w:szCs w:val="30"/>
          <w:highlight w:val="none"/>
        </w:rPr>
        <w:t>算相比增加</w:t>
      </w:r>
      <w:r>
        <w:rPr>
          <w:rFonts w:hint="eastAsia" w:eastAsia="仿宋_GB2312"/>
          <w:sz w:val="30"/>
          <w:szCs w:val="30"/>
          <w:highlight w:val="none"/>
          <w:lang w:val="en-US" w:eastAsia="zh-CN"/>
        </w:rPr>
        <w:t>357.1</w:t>
      </w:r>
      <w:r>
        <w:rPr>
          <w:rFonts w:eastAsia="仿宋_GB2312"/>
          <w:sz w:val="30"/>
          <w:szCs w:val="30"/>
          <w:highlight w:val="none"/>
        </w:rPr>
        <w:t>万元，</w:t>
      </w:r>
      <w:r>
        <w:rPr>
          <w:rFonts w:hint="eastAsia" w:eastAsia="仿宋_GB2312"/>
          <w:sz w:val="30"/>
          <w:szCs w:val="30"/>
          <w:highlight w:val="none"/>
        </w:rPr>
        <w:t>主要原因是</w:t>
      </w:r>
      <w:r>
        <w:rPr>
          <w:rFonts w:hint="eastAsia" w:eastAsia="仿宋_GB2312"/>
          <w:sz w:val="30"/>
          <w:szCs w:val="30"/>
          <w:highlight w:val="none"/>
          <w:lang w:eastAsia="zh-CN"/>
        </w:rPr>
        <w:t>基本支出减少</w:t>
      </w:r>
      <w:r>
        <w:rPr>
          <w:rFonts w:hint="eastAsia" w:eastAsia="仿宋_GB2312"/>
          <w:sz w:val="30"/>
          <w:szCs w:val="30"/>
          <w:highlight w:val="none"/>
          <w:lang w:val="en-US" w:eastAsia="zh-CN"/>
        </w:rPr>
        <w:t>303.1万元，其中财政</w:t>
      </w:r>
      <w:r>
        <w:rPr>
          <w:rFonts w:hint="eastAsia" w:ascii="Times New Roman" w:hAnsi="Times New Roman" w:eastAsia="仿宋_GB2312" w:cs="Times New Roman"/>
          <w:b w:val="0"/>
          <w:bCs w:val="0"/>
          <w:sz w:val="30"/>
          <w:szCs w:val="30"/>
          <w:highlight w:val="none"/>
          <w:lang w:val="en-US" w:eastAsia="zh-CN"/>
        </w:rPr>
        <w:t>拨款安排基本支出减少145.2万元，单位资金安排基本支出减少157.9万元，主要为根据实际人员增减变化动态调整及严格落实“过紧日子”要求压减公用支出。项目支出增加660.2万元，</w:t>
      </w:r>
      <w:r>
        <w:rPr>
          <w:rFonts w:hint="eastAsia" w:ascii="Times New Roman" w:hAnsi="Times New Roman" w:eastAsia="仿宋_GB2312"/>
          <w:sz w:val="30"/>
          <w:szCs w:val="30"/>
          <w:highlight w:val="none"/>
          <w:u w:val="none"/>
          <w:lang w:eastAsia="zh-CN"/>
        </w:rPr>
        <w:t>当年</w:t>
      </w:r>
      <w:r>
        <w:rPr>
          <w:rFonts w:hint="eastAsia" w:ascii="Times New Roman" w:hAnsi="Times New Roman" w:eastAsia="仿宋_GB2312" w:cs="Times New Roman"/>
          <w:sz w:val="30"/>
          <w:szCs w:val="30"/>
          <w:highlight w:val="none"/>
          <w:lang w:val="en-US" w:eastAsia="zh-CN"/>
        </w:rPr>
        <w:t>财政拨款项目支出增加88.3万元，主要是集中供养特困人员救助支出按照实际供养人员数量测算增加而同步增加预算安排以及新增专用医疗康复设备增加预算安排；财政拨款结转项目增加259.9万元，</w:t>
      </w:r>
      <w:r>
        <w:rPr>
          <w:rFonts w:ascii="Times New Roman" w:hAnsi="Times New Roman" w:eastAsia="仿宋_GB2312"/>
          <w:sz w:val="30"/>
          <w:szCs w:val="30"/>
          <w:highlight w:val="none"/>
          <w:u w:val="none"/>
        </w:rPr>
        <w:t>主要是</w:t>
      </w:r>
      <w:r>
        <w:rPr>
          <w:rFonts w:hint="eastAsia" w:ascii="Times New Roman" w:hAnsi="Times New Roman" w:eastAsia="仿宋_GB2312"/>
          <w:sz w:val="30"/>
          <w:szCs w:val="30"/>
          <w:highlight w:val="none"/>
          <w:u w:val="none"/>
          <w:lang w:eastAsia="zh-CN"/>
        </w:rPr>
        <w:t>以前年度一般债、福彩公益金等项目资金按照制度规定结转下年使用；</w:t>
      </w:r>
      <w:r>
        <w:rPr>
          <w:rFonts w:hint="eastAsia" w:ascii="Times New Roman" w:hAnsi="Times New Roman" w:eastAsia="仿宋_GB2312" w:cs="Times New Roman"/>
          <w:sz w:val="30"/>
          <w:szCs w:val="30"/>
          <w:highlight w:val="none"/>
          <w:u w:val="none"/>
          <w:lang w:val="en-US" w:eastAsia="zh-CN"/>
        </w:rPr>
        <w:t>单位资金安排项目支出增加312万元，主要是按照</w:t>
      </w:r>
      <w:r>
        <w:rPr>
          <w:rFonts w:hint="eastAsia" w:eastAsia="仿宋_GB2312"/>
          <w:sz w:val="30"/>
          <w:szCs w:val="30"/>
          <w:highlight w:val="none"/>
        </w:rPr>
        <w:t>新增医院信息化项目增加专项支出</w:t>
      </w:r>
      <w:r>
        <w:rPr>
          <w:rFonts w:hint="eastAsia" w:eastAsia="仿宋_GB2312"/>
          <w:sz w:val="30"/>
          <w:szCs w:val="30"/>
          <w:highlight w:val="none"/>
          <w:lang w:eastAsia="zh-CN"/>
        </w:rPr>
        <w:t>。</w:t>
      </w:r>
      <w:r>
        <w:rPr>
          <w:rFonts w:eastAsia="仿宋_GB2312"/>
          <w:sz w:val="30"/>
          <w:szCs w:val="30"/>
          <w:highlight w:val="none"/>
        </w:rPr>
        <w:t>其中：基本支出</w:t>
      </w:r>
      <w:r>
        <w:rPr>
          <w:rFonts w:hint="eastAsia" w:eastAsia="仿宋_GB2312"/>
          <w:sz w:val="30"/>
          <w:szCs w:val="30"/>
          <w:highlight w:val="none"/>
        </w:rPr>
        <w:t>11350.2</w:t>
      </w:r>
      <w:r>
        <w:rPr>
          <w:rFonts w:eastAsia="仿宋_GB2312"/>
          <w:sz w:val="30"/>
          <w:szCs w:val="30"/>
          <w:highlight w:val="none"/>
        </w:rPr>
        <w:t>万元，占</w:t>
      </w:r>
      <w:r>
        <w:rPr>
          <w:rFonts w:hint="eastAsia" w:eastAsia="仿宋_GB2312"/>
          <w:sz w:val="30"/>
          <w:szCs w:val="30"/>
          <w:highlight w:val="none"/>
          <w:lang w:val="en-US" w:eastAsia="zh-CN"/>
        </w:rPr>
        <w:t>84.4</w:t>
      </w:r>
      <w:r>
        <w:rPr>
          <w:rFonts w:eastAsia="仿宋_GB2312"/>
          <w:sz w:val="30"/>
          <w:szCs w:val="30"/>
          <w:highlight w:val="none"/>
        </w:rPr>
        <w:t>%；项目支出</w:t>
      </w:r>
      <w:r>
        <w:rPr>
          <w:rFonts w:hint="eastAsia" w:eastAsia="仿宋_GB2312"/>
          <w:sz w:val="30"/>
          <w:szCs w:val="30"/>
          <w:highlight w:val="none"/>
        </w:rPr>
        <w:t>2102.4</w:t>
      </w:r>
      <w:r>
        <w:rPr>
          <w:rFonts w:eastAsia="仿宋_GB2312"/>
          <w:sz w:val="30"/>
          <w:szCs w:val="30"/>
          <w:highlight w:val="none"/>
        </w:rPr>
        <w:t>万元，占</w:t>
      </w:r>
      <w:r>
        <w:rPr>
          <w:rFonts w:hint="eastAsia" w:eastAsia="仿宋_GB2312"/>
          <w:sz w:val="30"/>
          <w:szCs w:val="30"/>
          <w:highlight w:val="none"/>
          <w:lang w:val="en-US" w:eastAsia="zh-CN"/>
        </w:rPr>
        <w:t>15.6</w:t>
      </w:r>
      <w:r>
        <w:rPr>
          <w:rFonts w:eastAsia="仿宋_GB2312"/>
          <w:sz w:val="30"/>
          <w:szCs w:val="30"/>
          <w:highlight w:val="none"/>
        </w:rPr>
        <w:t>%；</w:t>
      </w:r>
      <w:r>
        <w:rPr>
          <w:rFonts w:hint="eastAsia" w:eastAsia="仿宋_GB2312"/>
          <w:sz w:val="30"/>
          <w:szCs w:val="30"/>
          <w:highlight w:val="none"/>
        </w:rPr>
        <w:t>事业单位经营支出0.0</w:t>
      </w:r>
      <w:r>
        <w:rPr>
          <w:rFonts w:eastAsia="仿宋_GB2312"/>
          <w:sz w:val="30"/>
          <w:szCs w:val="30"/>
          <w:highlight w:val="none"/>
        </w:rPr>
        <w:t>万元，占</w:t>
      </w:r>
      <w:r>
        <w:rPr>
          <w:rFonts w:hint="eastAsia" w:eastAsia="仿宋_GB2312"/>
          <w:sz w:val="30"/>
          <w:szCs w:val="30"/>
          <w:highlight w:val="none"/>
        </w:rPr>
        <w:t>0.0</w:t>
      </w:r>
      <w:r>
        <w:rPr>
          <w:rFonts w:eastAsia="仿宋_GB2312"/>
          <w:sz w:val="30"/>
          <w:szCs w:val="30"/>
          <w:highlight w:val="none"/>
        </w:rPr>
        <w:t>%；上缴上级支出</w:t>
      </w:r>
      <w:r>
        <w:rPr>
          <w:rFonts w:hint="eastAsia" w:eastAsia="仿宋_GB2312"/>
          <w:sz w:val="30"/>
          <w:szCs w:val="30"/>
          <w:highlight w:val="none"/>
        </w:rPr>
        <w:t>0.0</w:t>
      </w:r>
      <w:r>
        <w:rPr>
          <w:rFonts w:eastAsia="仿宋_GB2312"/>
          <w:sz w:val="30"/>
          <w:szCs w:val="30"/>
          <w:highlight w:val="none"/>
        </w:rPr>
        <w:t>万元，占</w:t>
      </w:r>
      <w:r>
        <w:rPr>
          <w:rFonts w:hint="eastAsia" w:eastAsia="仿宋_GB2312"/>
          <w:sz w:val="30"/>
          <w:szCs w:val="30"/>
          <w:highlight w:val="none"/>
        </w:rPr>
        <w:t>0.0</w:t>
      </w:r>
      <w:r>
        <w:rPr>
          <w:rFonts w:eastAsia="仿宋_GB2312"/>
          <w:sz w:val="30"/>
          <w:szCs w:val="30"/>
          <w:highlight w:val="none"/>
        </w:rPr>
        <w:t>%；</w:t>
      </w:r>
      <w:r>
        <w:rPr>
          <w:rFonts w:hint="eastAsia" w:eastAsia="仿宋_GB2312"/>
          <w:sz w:val="30"/>
          <w:szCs w:val="30"/>
          <w:highlight w:val="none"/>
        </w:rPr>
        <w:t>对附属单位补助支出0.0</w:t>
      </w:r>
      <w:r>
        <w:rPr>
          <w:rFonts w:eastAsia="仿宋_GB2312"/>
          <w:sz w:val="30"/>
          <w:szCs w:val="30"/>
          <w:highlight w:val="none"/>
        </w:rPr>
        <w:t>万元，占</w:t>
      </w:r>
      <w:r>
        <w:rPr>
          <w:rFonts w:hint="eastAsia" w:eastAsia="仿宋_GB2312"/>
          <w:sz w:val="30"/>
          <w:szCs w:val="30"/>
          <w:highlight w:val="none"/>
        </w:rPr>
        <w:t>0.0</w:t>
      </w:r>
      <w:r>
        <w:rPr>
          <w:rFonts w:eastAsia="仿宋_GB2312"/>
          <w:sz w:val="30"/>
          <w:szCs w:val="30"/>
          <w:highlight w:val="none"/>
        </w:rPr>
        <w:t>%</w:t>
      </w:r>
      <w:r>
        <w:rPr>
          <w:rFonts w:hint="eastAsia" w:eastAsia="仿宋_GB2312"/>
          <w:sz w:val="30"/>
          <w:szCs w:val="30"/>
          <w:highlight w:val="none"/>
        </w:rPr>
        <w:t>。</w:t>
      </w:r>
      <w:r>
        <w:rPr>
          <w:rFonts w:eastAsia="仿宋_GB2312"/>
          <w:sz w:val="30"/>
          <w:szCs w:val="30"/>
          <w:highlight w:val="none"/>
        </w:rPr>
        <w:t xml:space="preserve"> </w:t>
      </w:r>
    </w:p>
    <w:p>
      <w:pPr>
        <w:pStyle w:val="3"/>
        <w:spacing w:line="600" w:lineRule="exact"/>
        <w:ind w:firstLine="600" w:firstLineChars="200"/>
        <w:rPr>
          <w:rFonts w:ascii="黑体" w:hAnsi="黑体" w:eastAsia="黑体"/>
          <w:b w:val="0"/>
          <w:sz w:val="30"/>
          <w:szCs w:val="30"/>
        </w:rPr>
      </w:pPr>
      <w:bookmarkStart w:id="7" w:name="_Toc78784574"/>
      <w:r>
        <w:rPr>
          <w:rFonts w:hint="eastAsia" w:ascii="黑体" w:hAnsi="黑体" w:eastAsia="黑体"/>
          <w:b w:val="0"/>
          <w:sz w:val="30"/>
          <w:szCs w:val="30"/>
        </w:rPr>
        <w:t>四、关于财政拨款收支总体情况表</w:t>
      </w:r>
      <w:bookmarkEnd w:id="7"/>
      <w:r>
        <w:rPr>
          <w:rFonts w:hint="eastAsia" w:ascii="黑体" w:hAnsi="黑体" w:eastAsia="黑体"/>
          <w:b w:val="0"/>
          <w:sz w:val="30"/>
          <w:szCs w:val="30"/>
        </w:rPr>
        <w:t>的说明</w:t>
      </w:r>
    </w:p>
    <w:p>
      <w:pPr>
        <w:spacing w:line="600" w:lineRule="exact"/>
        <w:ind w:firstLine="600"/>
        <w:jc w:val="both"/>
        <w:rPr>
          <w:rFonts w:eastAsia="仿宋_GB2312"/>
          <w:sz w:val="30"/>
          <w:szCs w:val="30"/>
        </w:rPr>
      </w:pPr>
      <w:r>
        <w:rPr>
          <w:rFonts w:hint="eastAsia" w:eastAsia="仿宋_GB2312"/>
          <w:sz w:val="30"/>
          <w:szCs w:val="30"/>
        </w:rPr>
        <w:t>天津市安宁医院2024年财政拨款收入预算6326.5</w:t>
      </w:r>
      <w:r>
        <w:rPr>
          <w:rFonts w:eastAsia="仿宋_GB2312"/>
          <w:sz w:val="30"/>
          <w:szCs w:val="30"/>
        </w:rPr>
        <w:t>万元</w:t>
      </w:r>
      <w:r>
        <w:rPr>
          <w:rFonts w:hint="eastAsia" w:eastAsia="仿宋_GB2312"/>
          <w:sz w:val="30"/>
          <w:szCs w:val="30"/>
        </w:rPr>
        <w:t>，</w:t>
      </w:r>
      <w:r>
        <w:rPr>
          <w:rFonts w:eastAsia="仿宋_GB2312"/>
          <w:sz w:val="30"/>
          <w:szCs w:val="30"/>
        </w:rPr>
        <w:t>与</w:t>
      </w:r>
      <w:r>
        <w:rPr>
          <w:rFonts w:hint="eastAsia" w:eastAsia="仿宋_GB2312"/>
          <w:sz w:val="30"/>
          <w:szCs w:val="30"/>
        </w:rPr>
        <w:t>2023</w:t>
      </w:r>
      <w:r>
        <w:rPr>
          <w:rFonts w:eastAsia="仿宋_GB2312"/>
          <w:sz w:val="30"/>
          <w:szCs w:val="30"/>
        </w:rPr>
        <w:t>年</w:t>
      </w:r>
      <w:r>
        <w:rPr>
          <w:rFonts w:hint="eastAsia" w:eastAsia="仿宋_GB2312"/>
          <w:sz w:val="30"/>
          <w:szCs w:val="30"/>
        </w:rPr>
        <w:t>预</w:t>
      </w:r>
      <w:r>
        <w:rPr>
          <w:rFonts w:eastAsia="仿宋_GB2312"/>
          <w:sz w:val="30"/>
          <w:szCs w:val="30"/>
        </w:rPr>
        <w:t>算相比增加</w:t>
      </w:r>
      <w:r>
        <w:rPr>
          <w:rFonts w:hint="eastAsia" w:eastAsia="仿宋_GB2312"/>
          <w:sz w:val="30"/>
          <w:szCs w:val="30"/>
        </w:rPr>
        <w:t>203</w:t>
      </w:r>
      <w:r>
        <w:rPr>
          <w:rFonts w:eastAsia="仿宋_GB2312"/>
          <w:sz w:val="30"/>
          <w:szCs w:val="30"/>
        </w:rPr>
        <w:t>万元，</w:t>
      </w:r>
      <w:r>
        <w:rPr>
          <w:rFonts w:hint="eastAsia" w:eastAsia="仿宋_GB2312"/>
          <w:sz w:val="30"/>
          <w:szCs w:val="30"/>
        </w:rPr>
        <w:t>主要原因是一般公共预算收入减少109.0万元，为未休年假天数减少降低财政补助额度；政府性基金预算收入增加52.1万元，为新增大型修缮及专用设备购置项目；一般公共预算拨款上年结转增加240.2万元；政府性基金预算拨款上年结转增加19.7万元。收入包括：一般公共预算拨款收入5617.6</w:t>
      </w:r>
      <w:r>
        <w:rPr>
          <w:rFonts w:eastAsia="仿宋_GB2312"/>
          <w:sz w:val="30"/>
          <w:szCs w:val="30"/>
        </w:rPr>
        <w:t>万元、</w:t>
      </w:r>
      <w:r>
        <w:rPr>
          <w:rFonts w:hint="eastAsia" w:eastAsia="仿宋_GB2312"/>
          <w:sz w:val="30"/>
          <w:szCs w:val="30"/>
        </w:rPr>
        <w:t>政府性基金预算拨款收入449.0</w:t>
      </w:r>
      <w:r>
        <w:rPr>
          <w:rFonts w:eastAsia="仿宋_GB2312"/>
          <w:sz w:val="30"/>
          <w:szCs w:val="30"/>
        </w:rPr>
        <w:t>万元、</w:t>
      </w:r>
      <w:r>
        <w:rPr>
          <w:rFonts w:hint="eastAsia" w:eastAsia="仿宋_GB2312"/>
          <w:sz w:val="30"/>
          <w:szCs w:val="30"/>
        </w:rPr>
        <w:t>国有资本经营预算拨款收入0.0</w:t>
      </w:r>
      <w:r>
        <w:rPr>
          <w:rFonts w:eastAsia="仿宋_GB2312"/>
          <w:sz w:val="30"/>
          <w:szCs w:val="30"/>
        </w:rPr>
        <w:t>万元、</w:t>
      </w:r>
      <w:r>
        <w:rPr>
          <w:rFonts w:hint="eastAsia" w:eastAsia="仿宋_GB2312"/>
          <w:sz w:val="30"/>
          <w:szCs w:val="30"/>
        </w:rPr>
        <w:t>上年财政结转结余260.0</w:t>
      </w:r>
      <w:r>
        <w:rPr>
          <w:rFonts w:eastAsia="仿宋_GB2312"/>
          <w:sz w:val="30"/>
          <w:szCs w:val="30"/>
        </w:rPr>
        <w:t>万元</w:t>
      </w:r>
      <w:r>
        <w:rPr>
          <w:rFonts w:hint="eastAsia" w:eastAsia="仿宋_GB2312"/>
          <w:sz w:val="30"/>
          <w:szCs w:val="30"/>
        </w:rPr>
        <w:t>。2024年财政拨款支出预算6326.5</w:t>
      </w:r>
      <w:r>
        <w:rPr>
          <w:rFonts w:eastAsia="仿宋_GB2312"/>
          <w:sz w:val="30"/>
          <w:szCs w:val="30"/>
        </w:rPr>
        <w:t>万元</w:t>
      </w:r>
      <w:r>
        <w:rPr>
          <w:rFonts w:hint="eastAsia" w:eastAsia="仿宋_GB2312"/>
          <w:sz w:val="30"/>
          <w:szCs w:val="30"/>
        </w:rPr>
        <w:t>，</w:t>
      </w:r>
      <w:r>
        <w:rPr>
          <w:rFonts w:eastAsia="仿宋_GB2312"/>
          <w:sz w:val="30"/>
          <w:szCs w:val="30"/>
        </w:rPr>
        <w:t>与</w:t>
      </w:r>
      <w:r>
        <w:rPr>
          <w:rFonts w:hint="eastAsia" w:eastAsia="仿宋_GB2312"/>
          <w:sz w:val="30"/>
          <w:szCs w:val="30"/>
        </w:rPr>
        <w:t>2023</w:t>
      </w:r>
      <w:r>
        <w:rPr>
          <w:rFonts w:eastAsia="仿宋_GB2312"/>
          <w:sz w:val="30"/>
          <w:szCs w:val="30"/>
        </w:rPr>
        <w:t>年</w:t>
      </w:r>
      <w:r>
        <w:rPr>
          <w:rFonts w:hint="eastAsia" w:eastAsia="仿宋_GB2312"/>
          <w:sz w:val="30"/>
          <w:szCs w:val="30"/>
        </w:rPr>
        <w:t>预</w:t>
      </w:r>
      <w:r>
        <w:rPr>
          <w:rFonts w:eastAsia="仿宋_GB2312"/>
          <w:sz w:val="30"/>
          <w:szCs w:val="30"/>
        </w:rPr>
        <w:t>算相比增加</w:t>
      </w:r>
      <w:r>
        <w:rPr>
          <w:rFonts w:hint="eastAsia" w:eastAsia="仿宋_GB2312"/>
          <w:sz w:val="30"/>
          <w:szCs w:val="30"/>
        </w:rPr>
        <w:t>203</w:t>
      </w:r>
      <w:r>
        <w:rPr>
          <w:rFonts w:eastAsia="仿宋_GB2312"/>
          <w:sz w:val="30"/>
          <w:szCs w:val="30"/>
        </w:rPr>
        <w:t>万元，</w:t>
      </w:r>
      <w:r>
        <w:rPr>
          <w:rFonts w:hint="eastAsia" w:eastAsia="仿宋_GB2312"/>
          <w:sz w:val="30"/>
          <w:szCs w:val="30"/>
        </w:rPr>
        <w:t>主要原因是社会保障和就业支出增加140.9万元，为新增政府一般债券结转支出；卫生健康支出减少10.0万元；其他支出增加71.8万元，为新增大型修缮及专用设备购置项目增加专项支出；债务付息支出增加0.3万元。支出包括：社会保障和就业支出5679.9</w:t>
      </w:r>
      <w:r>
        <w:rPr>
          <w:rFonts w:eastAsia="仿宋_GB2312"/>
          <w:sz w:val="30"/>
          <w:szCs w:val="30"/>
        </w:rPr>
        <w:t>万元</w:t>
      </w:r>
      <w:r>
        <w:rPr>
          <w:rFonts w:hint="eastAsia" w:eastAsia="仿宋_GB2312"/>
          <w:sz w:val="30"/>
          <w:szCs w:val="30"/>
        </w:rPr>
        <w:t>、卫生健康支出163.6</w:t>
      </w:r>
      <w:r>
        <w:rPr>
          <w:rFonts w:eastAsia="仿宋_GB2312"/>
          <w:sz w:val="30"/>
          <w:szCs w:val="30"/>
        </w:rPr>
        <w:t>万元</w:t>
      </w:r>
      <w:r>
        <w:rPr>
          <w:rFonts w:hint="eastAsia" w:eastAsia="仿宋_GB2312"/>
          <w:sz w:val="30"/>
          <w:szCs w:val="30"/>
        </w:rPr>
        <w:t>、其他支出468.7万元、债务付息支出14.3万元。</w:t>
      </w:r>
    </w:p>
    <w:p>
      <w:pPr>
        <w:pStyle w:val="3"/>
        <w:spacing w:line="600" w:lineRule="exact"/>
        <w:ind w:firstLine="600" w:firstLineChars="200"/>
        <w:rPr>
          <w:rFonts w:ascii="黑体" w:hAnsi="黑体" w:eastAsia="黑体"/>
          <w:b w:val="0"/>
          <w:sz w:val="30"/>
          <w:szCs w:val="30"/>
        </w:rPr>
      </w:pPr>
      <w:bookmarkStart w:id="8" w:name="_Toc78784575"/>
      <w:r>
        <w:rPr>
          <w:rFonts w:ascii="黑体" w:hAnsi="黑体" w:eastAsia="黑体"/>
          <w:b w:val="0"/>
          <w:sz w:val="30"/>
          <w:szCs w:val="30"/>
        </w:rPr>
        <w:t>五</w:t>
      </w:r>
      <w:r>
        <w:rPr>
          <w:rFonts w:hint="eastAsia" w:ascii="黑体" w:hAnsi="黑体" w:eastAsia="黑体"/>
          <w:b w:val="0"/>
          <w:sz w:val="30"/>
          <w:szCs w:val="30"/>
        </w:rPr>
        <w:t>、关于</w:t>
      </w:r>
      <w:r>
        <w:rPr>
          <w:rFonts w:ascii="黑体" w:hAnsi="黑体" w:eastAsia="黑体"/>
          <w:b w:val="0"/>
          <w:sz w:val="30"/>
          <w:szCs w:val="30"/>
        </w:rPr>
        <w:t>一般公共预算支出</w:t>
      </w:r>
      <w:r>
        <w:rPr>
          <w:rFonts w:hint="eastAsia" w:ascii="黑体" w:hAnsi="黑体" w:eastAsia="黑体"/>
          <w:b w:val="0"/>
          <w:sz w:val="30"/>
          <w:szCs w:val="30"/>
        </w:rPr>
        <w:t>情况表</w:t>
      </w:r>
      <w:bookmarkEnd w:id="8"/>
      <w:r>
        <w:rPr>
          <w:rFonts w:hint="eastAsia" w:ascii="黑体" w:hAnsi="黑体" w:eastAsia="黑体"/>
          <w:b w:val="0"/>
          <w:sz w:val="30"/>
          <w:szCs w:val="30"/>
        </w:rPr>
        <w:t>的说明</w:t>
      </w:r>
    </w:p>
    <w:p>
      <w:pPr>
        <w:spacing w:line="600" w:lineRule="exact"/>
        <w:ind w:left="480" w:leftChars="200"/>
        <w:rPr>
          <w:rFonts w:ascii="楷体" w:hAnsi="楷体" w:eastAsia="楷体" w:cs="仿宋_GB2312"/>
          <w:b/>
          <w:sz w:val="30"/>
          <w:szCs w:val="30"/>
        </w:rPr>
      </w:pPr>
      <w:r>
        <w:rPr>
          <w:rFonts w:hint="eastAsia" w:ascii="楷体" w:hAnsi="楷体" w:eastAsia="楷体" w:cs="仿宋_GB2312"/>
          <w:b/>
          <w:sz w:val="30"/>
          <w:szCs w:val="30"/>
        </w:rPr>
        <w:t>（一）总体情况。</w:t>
      </w:r>
    </w:p>
    <w:p>
      <w:pPr>
        <w:spacing w:line="600" w:lineRule="exact"/>
        <w:ind w:firstLine="600" w:firstLineChars="200"/>
        <w:jc w:val="both"/>
        <w:rPr>
          <w:rFonts w:eastAsia="仿宋_GB2312"/>
          <w:sz w:val="30"/>
          <w:szCs w:val="30"/>
        </w:rPr>
      </w:pPr>
      <w:r>
        <w:rPr>
          <w:rFonts w:hint="eastAsia" w:eastAsia="仿宋_GB2312"/>
          <w:sz w:val="30"/>
          <w:szCs w:val="30"/>
        </w:rPr>
        <w:t>天津市安宁医院2024年一般公共预算支出5857.8</w:t>
      </w:r>
      <w:r>
        <w:rPr>
          <w:rFonts w:eastAsia="仿宋_GB2312"/>
          <w:sz w:val="30"/>
          <w:szCs w:val="30"/>
        </w:rPr>
        <w:t>万元，与2023年</w:t>
      </w:r>
      <w:r>
        <w:rPr>
          <w:rFonts w:hint="eastAsia" w:eastAsia="仿宋_GB2312"/>
          <w:sz w:val="30"/>
          <w:szCs w:val="30"/>
        </w:rPr>
        <w:t>预</w:t>
      </w:r>
      <w:r>
        <w:rPr>
          <w:rFonts w:eastAsia="仿宋_GB2312"/>
          <w:sz w:val="30"/>
          <w:szCs w:val="30"/>
        </w:rPr>
        <w:t>算相比增加</w:t>
      </w:r>
      <w:r>
        <w:rPr>
          <w:rFonts w:hint="eastAsia" w:eastAsia="仿宋_GB2312"/>
          <w:sz w:val="30"/>
          <w:szCs w:val="30"/>
        </w:rPr>
        <w:t>131.2万</w:t>
      </w:r>
      <w:r>
        <w:rPr>
          <w:rFonts w:eastAsia="仿宋_GB2312"/>
          <w:sz w:val="30"/>
          <w:szCs w:val="30"/>
        </w:rPr>
        <w:t>元，</w:t>
      </w:r>
      <w:r>
        <w:rPr>
          <w:rFonts w:hint="eastAsia" w:eastAsia="仿宋_GB2312"/>
          <w:sz w:val="30"/>
          <w:szCs w:val="30"/>
        </w:rPr>
        <w:t>主要原因是新增政府一般债券结转支出。</w:t>
      </w:r>
    </w:p>
    <w:p>
      <w:pPr>
        <w:spacing w:line="600" w:lineRule="exact"/>
        <w:ind w:firstLine="602" w:firstLineChars="200"/>
        <w:rPr>
          <w:rFonts w:ascii="楷体" w:hAnsi="楷体" w:eastAsia="楷体"/>
          <w:sz w:val="30"/>
          <w:szCs w:val="30"/>
        </w:rPr>
      </w:pPr>
      <w:r>
        <w:rPr>
          <w:rFonts w:hint="eastAsia" w:ascii="楷体" w:hAnsi="楷体" w:eastAsia="楷体" w:cs="仿宋_GB2312"/>
          <w:b/>
          <w:sz w:val="30"/>
          <w:szCs w:val="30"/>
        </w:rPr>
        <w:t>（二）</w:t>
      </w:r>
      <w:r>
        <w:rPr>
          <w:rFonts w:ascii="楷体" w:hAnsi="楷体" w:eastAsia="楷体" w:cs="仿宋_GB2312"/>
          <w:b/>
          <w:sz w:val="30"/>
          <w:szCs w:val="30"/>
        </w:rPr>
        <w:t>具体情况</w:t>
      </w:r>
      <w:r>
        <w:rPr>
          <w:rFonts w:hint="eastAsia" w:ascii="楷体" w:hAnsi="楷体" w:eastAsia="楷体" w:cs="仿宋_GB2312"/>
          <w:b/>
          <w:sz w:val="30"/>
          <w:szCs w:val="30"/>
        </w:rPr>
        <w:t>。</w:t>
      </w:r>
    </w:p>
    <w:p>
      <w:pPr>
        <w:spacing w:line="580" w:lineRule="exact"/>
        <w:ind w:firstLine="600" w:firstLineChars="200"/>
        <w:jc w:val="both"/>
        <w:rPr>
          <w:rFonts w:eastAsia="仿宋_GB2312"/>
          <w:sz w:val="30"/>
          <w:szCs w:val="30"/>
        </w:rPr>
      </w:pPr>
      <w:r>
        <w:rPr>
          <w:rFonts w:eastAsia="仿宋_GB2312"/>
          <w:sz w:val="30"/>
          <w:szCs w:val="30"/>
        </w:rPr>
        <w:t>1、 “</w:t>
      </w:r>
      <w:r>
        <w:rPr>
          <w:rFonts w:hint="eastAsia" w:eastAsia="仿宋_GB2312"/>
          <w:sz w:val="30"/>
          <w:szCs w:val="30"/>
        </w:rPr>
        <w:t>社会保障和就业支出”5679.9</w:t>
      </w:r>
      <w:r>
        <w:rPr>
          <w:rFonts w:eastAsia="仿宋_GB2312"/>
          <w:sz w:val="30"/>
          <w:szCs w:val="30"/>
        </w:rPr>
        <w:t>万元，与2023年</w:t>
      </w:r>
      <w:r>
        <w:rPr>
          <w:rFonts w:hint="eastAsia" w:eastAsia="仿宋_GB2312"/>
          <w:sz w:val="30"/>
          <w:szCs w:val="30"/>
        </w:rPr>
        <w:t>预</w:t>
      </w:r>
      <w:r>
        <w:rPr>
          <w:rFonts w:eastAsia="仿宋_GB2312"/>
          <w:sz w:val="30"/>
          <w:szCs w:val="30"/>
        </w:rPr>
        <w:t>算相比增加</w:t>
      </w:r>
      <w:r>
        <w:rPr>
          <w:rFonts w:hint="eastAsia" w:eastAsia="仿宋_GB2312"/>
          <w:sz w:val="30"/>
          <w:szCs w:val="30"/>
        </w:rPr>
        <w:t>140.9万</w:t>
      </w:r>
      <w:r>
        <w:rPr>
          <w:rFonts w:eastAsia="仿宋_GB2312"/>
          <w:sz w:val="30"/>
          <w:szCs w:val="30"/>
        </w:rPr>
        <w:t>元，</w:t>
      </w:r>
      <w:r>
        <w:rPr>
          <w:rFonts w:hint="eastAsia" w:eastAsia="仿宋_GB2312"/>
          <w:sz w:val="30"/>
          <w:szCs w:val="30"/>
        </w:rPr>
        <w:t>主要原因是新增政府一般债券结转支出</w:t>
      </w:r>
      <w:r>
        <w:rPr>
          <w:rFonts w:eastAsia="仿宋_GB2312"/>
          <w:sz w:val="30"/>
          <w:szCs w:val="30"/>
        </w:rPr>
        <w:t>，其中：</w:t>
      </w:r>
    </w:p>
    <w:p>
      <w:pPr>
        <w:spacing w:line="580" w:lineRule="exact"/>
        <w:ind w:firstLine="600" w:firstLineChars="200"/>
        <w:jc w:val="both"/>
        <w:rPr>
          <w:rFonts w:eastAsia="仿宋_GB2312"/>
          <w:sz w:val="30"/>
          <w:szCs w:val="30"/>
        </w:rPr>
      </w:pPr>
      <w:r>
        <w:rPr>
          <w:rFonts w:hint="eastAsia" w:eastAsia="仿宋_GB2312"/>
          <w:sz w:val="30"/>
          <w:szCs w:val="30"/>
        </w:rPr>
        <w:t>“行政事业单位养老支出”583.5</w:t>
      </w:r>
      <w:r>
        <w:rPr>
          <w:rFonts w:eastAsia="仿宋_GB2312"/>
          <w:sz w:val="30"/>
          <w:szCs w:val="30"/>
        </w:rPr>
        <w:t>万元，</w:t>
      </w:r>
      <w:r>
        <w:rPr>
          <w:rFonts w:hint="eastAsia" w:eastAsia="仿宋_GB2312"/>
          <w:sz w:val="30"/>
          <w:szCs w:val="30"/>
        </w:rPr>
        <w:t>包括</w:t>
      </w:r>
      <w:r>
        <w:rPr>
          <w:rFonts w:eastAsia="仿宋_GB2312"/>
          <w:sz w:val="30"/>
          <w:szCs w:val="30"/>
        </w:rPr>
        <w:t>：</w:t>
      </w:r>
      <w:r>
        <w:rPr>
          <w:rFonts w:hint="eastAsia" w:eastAsia="仿宋_GB2312"/>
          <w:sz w:val="30"/>
          <w:szCs w:val="30"/>
        </w:rPr>
        <w:t>“机关事业单位基本养老保险缴费支出”389.0</w:t>
      </w:r>
      <w:r>
        <w:rPr>
          <w:rFonts w:eastAsia="仿宋_GB2312"/>
          <w:sz w:val="30"/>
          <w:szCs w:val="30"/>
        </w:rPr>
        <w:t>万元，主要用于</w:t>
      </w:r>
      <w:r>
        <w:rPr>
          <w:rFonts w:hint="eastAsia" w:eastAsia="仿宋_GB2312"/>
          <w:sz w:val="30"/>
          <w:szCs w:val="30"/>
        </w:rPr>
        <w:t>支付在职职工养老保险</w:t>
      </w:r>
      <w:r>
        <w:rPr>
          <w:rFonts w:eastAsia="仿宋_GB2312"/>
          <w:sz w:val="30"/>
          <w:szCs w:val="30"/>
        </w:rPr>
        <w:t>；</w:t>
      </w:r>
      <w:r>
        <w:rPr>
          <w:rFonts w:hint="eastAsia" w:eastAsia="仿宋_GB2312"/>
          <w:sz w:val="30"/>
          <w:szCs w:val="30"/>
        </w:rPr>
        <w:t>“机关事业单位职业年金缴费支出”194.5</w:t>
      </w:r>
      <w:r>
        <w:rPr>
          <w:rFonts w:eastAsia="仿宋_GB2312"/>
          <w:sz w:val="30"/>
          <w:szCs w:val="30"/>
        </w:rPr>
        <w:t>万元，主要用于</w:t>
      </w:r>
      <w:r>
        <w:rPr>
          <w:rFonts w:hint="eastAsia" w:eastAsia="仿宋_GB2312"/>
          <w:sz w:val="30"/>
          <w:szCs w:val="30"/>
        </w:rPr>
        <w:t>支付在职职工职业年金</w:t>
      </w:r>
      <w:r>
        <w:rPr>
          <w:rFonts w:eastAsia="仿宋_GB2312"/>
          <w:sz w:val="30"/>
          <w:szCs w:val="30"/>
        </w:rPr>
        <w:t>；</w:t>
      </w:r>
    </w:p>
    <w:p>
      <w:pPr>
        <w:spacing w:line="580" w:lineRule="exact"/>
        <w:ind w:firstLine="600" w:firstLineChars="200"/>
        <w:jc w:val="both"/>
        <w:rPr>
          <w:rFonts w:eastAsia="仿宋_GB2312"/>
          <w:sz w:val="30"/>
          <w:szCs w:val="30"/>
        </w:rPr>
      </w:pPr>
      <w:r>
        <w:rPr>
          <w:rFonts w:hint="eastAsia" w:eastAsia="仿宋_GB2312"/>
          <w:sz w:val="30"/>
          <w:szCs w:val="30"/>
        </w:rPr>
        <w:t>“社会福利”5096.4</w:t>
      </w:r>
      <w:r>
        <w:rPr>
          <w:rFonts w:eastAsia="仿宋_GB2312"/>
          <w:sz w:val="30"/>
          <w:szCs w:val="30"/>
        </w:rPr>
        <w:t>万元，</w:t>
      </w:r>
      <w:r>
        <w:rPr>
          <w:rFonts w:hint="eastAsia" w:eastAsia="仿宋_GB2312"/>
          <w:sz w:val="30"/>
          <w:szCs w:val="30"/>
        </w:rPr>
        <w:t>包括</w:t>
      </w:r>
      <w:r>
        <w:rPr>
          <w:rFonts w:eastAsia="仿宋_GB2312"/>
          <w:sz w:val="30"/>
          <w:szCs w:val="30"/>
        </w:rPr>
        <w:t>：</w:t>
      </w:r>
      <w:r>
        <w:rPr>
          <w:rFonts w:hint="eastAsia" w:eastAsia="仿宋_GB2312"/>
          <w:sz w:val="30"/>
          <w:szCs w:val="30"/>
        </w:rPr>
        <w:t>“社会福利事业单位”5096.4</w:t>
      </w:r>
      <w:r>
        <w:rPr>
          <w:rFonts w:eastAsia="仿宋_GB2312"/>
          <w:sz w:val="30"/>
          <w:szCs w:val="30"/>
        </w:rPr>
        <w:t>万元，主要用于</w:t>
      </w:r>
      <w:r>
        <w:rPr>
          <w:rFonts w:hint="eastAsia" w:eastAsia="仿宋_GB2312"/>
          <w:sz w:val="30"/>
          <w:szCs w:val="30"/>
        </w:rPr>
        <w:t>单位基本支出、供养人员生活费以及医院迁址新建前期准备工作。</w:t>
      </w:r>
    </w:p>
    <w:p>
      <w:pPr>
        <w:spacing w:line="580" w:lineRule="exact"/>
        <w:ind w:firstLine="600" w:firstLineChars="200"/>
        <w:jc w:val="both"/>
        <w:rPr>
          <w:rFonts w:eastAsia="仿宋_GB2312"/>
          <w:sz w:val="30"/>
          <w:szCs w:val="30"/>
        </w:rPr>
      </w:pPr>
      <w:r>
        <w:rPr>
          <w:rFonts w:hint="eastAsia" w:eastAsia="仿宋_GB2312"/>
          <w:sz w:val="30"/>
          <w:szCs w:val="30"/>
        </w:rPr>
        <w:t>2、“卫生健康支出”163.6万元，与2023年预算相比减少10万元，主要原因是在职人员退休减少医疗保险缴费等支出，其中：</w:t>
      </w:r>
    </w:p>
    <w:p>
      <w:pPr>
        <w:spacing w:line="580" w:lineRule="exact"/>
        <w:ind w:firstLine="600" w:firstLineChars="200"/>
        <w:jc w:val="both"/>
        <w:rPr>
          <w:rFonts w:eastAsia="仿宋_GB2312"/>
          <w:sz w:val="30"/>
          <w:szCs w:val="30"/>
        </w:rPr>
      </w:pPr>
      <w:r>
        <w:rPr>
          <w:rFonts w:hint="eastAsia" w:eastAsia="仿宋_GB2312"/>
          <w:sz w:val="30"/>
          <w:szCs w:val="30"/>
        </w:rPr>
        <w:t>“行政事业单位医疗”163.6万元，包括：“事业单位医疗”121.6万元，主要用于支付在职职工医疗保险</w:t>
      </w:r>
      <w:r>
        <w:rPr>
          <w:rFonts w:eastAsia="仿宋_GB2312"/>
          <w:sz w:val="30"/>
          <w:szCs w:val="30"/>
        </w:rPr>
        <w:t>；</w:t>
      </w:r>
      <w:r>
        <w:rPr>
          <w:rFonts w:hint="eastAsia" w:eastAsia="仿宋_GB2312"/>
          <w:sz w:val="30"/>
          <w:szCs w:val="30"/>
        </w:rPr>
        <w:t>“其他行政事业单位医疗支出”42</w:t>
      </w:r>
      <w:r>
        <w:rPr>
          <w:rFonts w:eastAsia="仿宋_GB2312"/>
          <w:sz w:val="30"/>
          <w:szCs w:val="30"/>
        </w:rPr>
        <w:t>万元，主要用于</w:t>
      </w:r>
      <w:r>
        <w:rPr>
          <w:rFonts w:hint="eastAsia" w:eastAsia="仿宋_GB2312"/>
          <w:sz w:val="30"/>
          <w:szCs w:val="30"/>
        </w:rPr>
        <w:t>支付在职及退休人员医疗费</w:t>
      </w:r>
      <w:r>
        <w:rPr>
          <w:rFonts w:eastAsia="仿宋_GB2312"/>
          <w:sz w:val="30"/>
          <w:szCs w:val="30"/>
        </w:rPr>
        <w:t>。</w:t>
      </w:r>
    </w:p>
    <w:p>
      <w:pPr>
        <w:spacing w:line="580" w:lineRule="exact"/>
        <w:ind w:firstLine="600" w:firstLineChars="200"/>
        <w:jc w:val="both"/>
        <w:rPr>
          <w:rFonts w:eastAsia="仿宋_GB2312"/>
          <w:sz w:val="30"/>
          <w:szCs w:val="30"/>
        </w:rPr>
      </w:pPr>
      <w:r>
        <w:rPr>
          <w:rFonts w:hint="eastAsia" w:eastAsia="仿宋_GB2312"/>
          <w:sz w:val="30"/>
          <w:szCs w:val="30"/>
        </w:rPr>
        <w:t>3、“债务付息支出”14.3万元，与2023年预算相比增加0.3万元，其中：</w:t>
      </w:r>
    </w:p>
    <w:p>
      <w:pPr>
        <w:spacing w:line="580" w:lineRule="exact"/>
        <w:jc w:val="both"/>
        <w:rPr>
          <w:rFonts w:eastAsia="仿宋_GB2312"/>
          <w:sz w:val="30"/>
          <w:szCs w:val="30"/>
        </w:rPr>
      </w:pPr>
      <w:r>
        <w:rPr>
          <w:rFonts w:hint="eastAsia" w:eastAsia="仿宋_GB2312"/>
          <w:sz w:val="30"/>
          <w:szCs w:val="30"/>
        </w:rPr>
        <w:t xml:space="preserve">    “地方政府一般债付息支出”14.3万元，包括：“地方政府一般债券付息支出”14.0万元，主要用于支付政府一般债利息。</w:t>
      </w:r>
    </w:p>
    <w:p>
      <w:pPr>
        <w:pStyle w:val="3"/>
        <w:spacing w:line="600" w:lineRule="exact"/>
        <w:ind w:firstLine="600" w:firstLineChars="200"/>
        <w:rPr>
          <w:rFonts w:ascii="黑体" w:hAnsi="黑体" w:eastAsia="黑体"/>
          <w:b w:val="0"/>
          <w:sz w:val="30"/>
          <w:szCs w:val="30"/>
        </w:rPr>
      </w:pPr>
      <w:bookmarkStart w:id="9" w:name="_Toc78784576"/>
      <w:r>
        <w:rPr>
          <w:rFonts w:ascii="黑体" w:hAnsi="黑体" w:eastAsia="黑体"/>
          <w:b w:val="0"/>
          <w:sz w:val="30"/>
          <w:szCs w:val="30"/>
        </w:rPr>
        <w:t>六、</w:t>
      </w:r>
      <w:r>
        <w:rPr>
          <w:rFonts w:hint="eastAsia" w:ascii="黑体" w:hAnsi="黑体" w:eastAsia="黑体"/>
          <w:b w:val="0"/>
          <w:sz w:val="30"/>
          <w:szCs w:val="30"/>
        </w:rPr>
        <w:t>关于</w:t>
      </w:r>
      <w:r>
        <w:rPr>
          <w:rFonts w:ascii="黑体" w:hAnsi="黑体" w:eastAsia="黑体"/>
          <w:b w:val="0"/>
          <w:sz w:val="30"/>
          <w:szCs w:val="30"/>
        </w:rPr>
        <w:t>一般公共预算基本支出情况</w:t>
      </w:r>
      <w:bookmarkEnd w:id="9"/>
      <w:r>
        <w:rPr>
          <w:rFonts w:hint="eastAsia" w:ascii="黑体" w:hAnsi="黑体" w:eastAsia="黑体"/>
          <w:b w:val="0"/>
          <w:sz w:val="30"/>
          <w:szCs w:val="30"/>
        </w:rPr>
        <w:t>表的说明</w:t>
      </w:r>
    </w:p>
    <w:p>
      <w:pPr>
        <w:spacing w:line="600" w:lineRule="exact"/>
        <w:ind w:firstLine="600" w:firstLineChars="200"/>
        <w:jc w:val="both"/>
        <w:rPr>
          <w:rFonts w:eastAsia="仿宋_GB2312"/>
          <w:sz w:val="30"/>
          <w:szCs w:val="30"/>
        </w:rPr>
      </w:pPr>
      <w:r>
        <w:rPr>
          <w:rFonts w:hint="eastAsia" w:eastAsia="仿宋_GB2312"/>
          <w:sz w:val="30"/>
          <w:szCs w:val="30"/>
        </w:rPr>
        <w:t>天津市安宁医院</w:t>
      </w:r>
      <w:r>
        <w:rPr>
          <w:rFonts w:eastAsia="仿宋_GB2312"/>
          <w:sz w:val="30"/>
          <w:szCs w:val="30"/>
        </w:rPr>
        <w:t>一般公共预算</w:t>
      </w:r>
      <w:r>
        <w:rPr>
          <w:rFonts w:hint="eastAsia" w:eastAsia="仿宋_GB2312"/>
          <w:sz w:val="30"/>
          <w:szCs w:val="30"/>
        </w:rPr>
        <w:t>基本支出5186.1</w:t>
      </w:r>
      <w:r>
        <w:rPr>
          <w:rFonts w:eastAsia="仿宋_GB2312"/>
          <w:sz w:val="30"/>
          <w:szCs w:val="30"/>
        </w:rPr>
        <w:t>万元，与</w:t>
      </w:r>
      <w:r>
        <w:rPr>
          <w:rFonts w:hint="eastAsia" w:eastAsia="仿宋_GB2312"/>
          <w:sz w:val="30"/>
          <w:szCs w:val="30"/>
        </w:rPr>
        <w:t>2023</w:t>
      </w:r>
      <w:r>
        <w:rPr>
          <w:rFonts w:eastAsia="仿宋_GB2312"/>
          <w:sz w:val="30"/>
          <w:szCs w:val="30"/>
        </w:rPr>
        <w:t>年</w:t>
      </w:r>
      <w:r>
        <w:rPr>
          <w:rFonts w:hint="eastAsia" w:eastAsia="仿宋_GB2312"/>
          <w:sz w:val="30"/>
          <w:szCs w:val="30"/>
        </w:rPr>
        <w:t>预算</w:t>
      </w:r>
      <w:r>
        <w:rPr>
          <w:rFonts w:eastAsia="仿宋_GB2312"/>
          <w:sz w:val="30"/>
          <w:szCs w:val="30"/>
        </w:rPr>
        <w:t>相比减少</w:t>
      </w:r>
      <w:r>
        <w:rPr>
          <w:rFonts w:hint="eastAsia" w:eastAsia="仿宋_GB2312"/>
          <w:sz w:val="30"/>
          <w:szCs w:val="30"/>
        </w:rPr>
        <w:t>145.2</w:t>
      </w:r>
      <w:r>
        <w:rPr>
          <w:rFonts w:eastAsia="仿宋_GB2312"/>
          <w:sz w:val="30"/>
          <w:szCs w:val="30"/>
        </w:rPr>
        <w:t>万元，</w:t>
      </w:r>
      <w:r>
        <w:rPr>
          <w:rFonts w:hint="eastAsia" w:eastAsia="仿宋_GB2312"/>
          <w:sz w:val="30"/>
          <w:szCs w:val="30"/>
        </w:rPr>
        <w:t>主要原因是未休年假天数减少降低财政补助额度。其中：</w:t>
      </w:r>
    </w:p>
    <w:p>
      <w:pPr>
        <w:spacing w:line="600" w:lineRule="exact"/>
        <w:ind w:firstLine="600" w:firstLineChars="200"/>
        <w:jc w:val="both"/>
        <w:rPr>
          <w:rFonts w:eastAsia="仿宋_GB2312"/>
          <w:sz w:val="30"/>
          <w:szCs w:val="30"/>
        </w:rPr>
      </w:pPr>
      <w:r>
        <w:rPr>
          <w:rFonts w:hint="eastAsia" w:eastAsia="仿宋_GB2312"/>
          <w:sz w:val="30"/>
          <w:szCs w:val="30"/>
        </w:rPr>
        <w:t>人员经费4841.8</w:t>
      </w:r>
      <w:r>
        <w:rPr>
          <w:rFonts w:eastAsia="仿宋_GB2312"/>
          <w:sz w:val="30"/>
          <w:szCs w:val="30"/>
        </w:rPr>
        <w:t>万元</w:t>
      </w:r>
      <w:r>
        <w:rPr>
          <w:rFonts w:hint="eastAsia" w:eastAsia="仿宋_GB2312"/>
          <w:sz w:val="30"/>
          <w:szCs w:val="30"/>
        </w:rPr>
        <w:t>，主要包括：“工资福利支出”4720.3万元，其中：“基本工资”1000.0万元，主要用于按规定发放的基本工资；“津贴补贴”400.0万元，主要用于在职人员津贴补贴支出；“绩效工资”1215.6万元，主要用于在职人员绩效工资支出；“机关事业单位基本养老保险缴费” 389万元，主要用于支付在职职工养老保险；“职业年金缴费”194.5万元，主要用于支付在职职工职业年金；“职工基本医疗保险缴费”121.6万元，主要用于支付在职职工医疗保险；“住房公积金”1275.0万元，主要用于支付在职职工住房公积金；“医疗费”18.2万元，主要用于在职职工的其他医疗费用；“其他工资福利支出”106.4万元，主要用于在职职工的未休年假补贴支出。</w:t>
      </w:r>
    </w:p>
    <w:p>
      <w:pPr>
        <w:spacing w:line="600" w:lineRule="exact"/>
        <w:ind w:firstLine="600" w:firstLineChars="200"/>
        <w:jc w:val="both"/>
        <w:rPr>
          <w:rFonts w:eastAsia="仿宋_GB2312"/>
          <w:sz w:val="30"/>
          <w:szCs w:val="30"/>
        </w:rPr>
      </w:pPr>
      <w:r>
        <w:rPr>
          <w:rFonts w:hint="eastAsia" w:eastAsia="仿宋_GB2312"/>
          <w:sz w:val="30"/>
          <w:szCs w:val="30"/>
        </w:rPr>
        <w:t>“对个人和家庭的补助”121.5万元，其中：“退休费”97.7万元，主要用于支付退休人员相关补贴；“医疗费补助”23.8万元，主要用于支付退休人员医疗费。</w:t>
      </w:r>
    </w:p>
    <w:p>
      <w:pPr>
        <w:spacing w:line="600" w:lineRule="exact"/>
        <w:ind w:firstLine="600" w:firstLineChars="200"/>
        <w:jc w:val="both"/>
        <w:rPr>
          <w:rFonts w:eastAsia="仿宋_GB2312"/>
          <w:sz w:val="30"/>
          <w:szCs w:val="30"/>
        </w:rPr>
      </w:pPr>
      <w:r>
        <w:rPr>
          <w:rFonts w:hint="eastAsia" w:eastAsia="仿宋_GB2312"/>
          <w:sz w:val="30"/>
          <w:szCs w:val="30"/>
        </w:rPr>
        <w:t>公用经费344.3</w:t>
      </w:r>
      <w:r>
        <w:rPr>
          <w:rFonts w:eastAsia="仿宋_GB2312"/>
          <w:sz w:val="30"/>
          <w:szCs w:val="30"/>
        </w:rPr>
        <w:t>万元</w:t>
      </w:r>
      <w:r>
        <w:rPr>
          <w:rFonts w:hint="eastAsia" w:eastAsia="仿宋_GB2312"/>
          <w:sz w:val="30"/>
          <w:szCs w:val="30"/>
        </w:rPr>
        <w:t>，主要包括：“商品和服务支出”344.3万元，其中：“办公费”10.0万元，主要用于单位日常运行的基本支出；“手续费”0.5万元，主要用于办理银行业务支出的手续费；“水费”15.0万元，主要用于支付水费；“电费”30.0万元，主要用于支付电费；“邮电费”10.0万元，主要用于支付网络服务费；“取暖费”40.0万元，主要用于支付单位供暖费；“物业管理费”125.0万元，主要用于支付物业管理服务费；“维修（护）费”35.0万元，主要用于支付固定资产日常维修费；“专用材料费”33.2万元，主要用于支付药品试剂等专用材料支出；“工会经费”44.6万元，主要用于支付工会经费；“福利费”1.0万元，主要用于支付职工福利费。</w:t>
      </w:r>
    </w:p>
    <w:p>
      <w:pPr>
        <w:pStyle w:val="3"/>
        <w:spacing w:line="600" w:lineRule="exact"/>
        <w:ind w:firstLine="600" w:firstLineChars="200"/>
        <w:rPr>
          <w:rFonts w:ascii="黑体" w:hAnsi="黑体" w:eastAsia="黑体"/>
          <w:b w:val="0"/>
          <w:sz w:val="30"/>
          <w:szCs w:val="30"/>
        </w:rPr>
      </w:pPr>
      <w:bookmarkStart w:id="10" w:name="_Toc78784577"/>
      <w:r>
        <w:rPr>
          <w:rFonts w:hint="eastAsia" w:ascii="黑体" w:hAnsi="黑体" w:eastAsia="黑体"/>
          <w:b w:val="0"/>
          <w:sz w:val="30"/>
          <w:szCs w:val="30"/>
        </w:rPr>
        <w:t>七、关于一般公共预算“三公”经费支出情况表的说明</w:t>
      </w:r>
    </w:p>
    <w:p>
      <w:pPr>
        <w:spacing w:line="560" w:lineRule="exact"/>
        <w:ind w:firstLine="600" w:firstLineChars="200"/>
        <w:jc w:val="both"/>
        <w:rPr>
          <w:rFonts w:eastAsia="仿宋_GB2312"/>
          <w:sz w:val="30"/>
          <w:szCs w:val="30"/>
        </w:rPr>
      </w:pPr>
      <w:r>
        <w:rPr>
          <w:rFonts w:eastAsia="仿宋_GB2312"/>
          <w:sz w:val="30"/>
          <w:szCs w:val="30"/>
        </w:rPr>
        <w:t>2024年一般公共预算“三公”经费安排</w:t>
      </w:r>
      <w:r>
        <w:rPr>
          <w:rFonts w:hint="eastAsia" w:eastAsia="仿宋_GB2312"/>
          <w:sz w:val="30"/>
          <w:szCs w:val="30"/>
        </w:rPr>
        <w:t>0.0</w:t>
      </w:r>
      <w:r>
        <w:rPr>
          <w:rFonts w:eastAsia="仿宋_GB2312"/>
          <w:sz w:val="30"/>
          <w:szCs w:val="30"/>
        </w:rPr>
        <w:t>万元，与2023年预算相比增加（减少）</w:t>
      </w:r>
      <w:r>
        <w:rPr>
          <w:rFonts w:hint="eastAsia" w:eastAsia="仿宋_GB2312"/>
          <w:sz w:val="30"/>
          <w:szCs w:val="30"/>
        </w:rPr>
        <w:t>0.0</w:t>
      </w:r>
      <w:r>
        <w:rPr>
          <w:rFonts w:eastAsia="仿宋_GB2312"/>
          <w:sz w:val="30"/>
          <w:szCs w:val="30"/>
        </w:rPr>
        <w:t>万元，主要原因是</w:t>
      </w:r>
      <w:r>
        <w:rPr>
          <w:rFonts w:hint="eastAsia" w:eastAsia="仿宋_GB2312"/>
          <w:sz w:val="30"/>
          <w:szCs w:val="30"/>
        </w:rPr>
        <w:t>本部门一般公共预算未安排“三公”经费</w:t>
      </w:r>
      <w:r>
        <w:rPr>
          <w:rFonts w:eastAsia="仿宋_GB2312"/>
          <w:sz w:val="30"/>
          <w:szCs w:val="30"/>
        </w:rPr>
        <w:t>。具体情况：</w:t>
      </w:r>
    </w:p>
    <w:p>
      <w:pPr>
        <w:spacing w:line="560" w:lineRule="exact"/>
        <w:ind w:firstLine="600" w:firstLineChars="200"/>
        <w:jc w:val="both"/>
        <w:rPr>
          <w:rFonts w:eastAsia="仿宋_GB2312"/>
          <w:sz w:val="30"/>
          <w:szCs w:val="30"/>
        </w:rPr>
      </w:pPr>
      <w:r>
        <w:rPr>
          <w:rFonts w:eastAsia="仿宋_GB2312"/>
          <w:sz w:val="30"/>
          <w:szCs w:val="30"/>
        </w:rPr>
        <w:t>一、2024年因公出国（境）费预算</w:t>
      </w:r>
      <w:r>
        <w:rPr>
          <w:rFonts w:hint="eastAsia" w:eastAsia="仿宋_GB2312"/>
          <w:sz w:val="30"/>
          <w:szCs w:val="30"/>
        </w:rPr>
        <w:t>0.0</w:t>
      </w:r>
      <w:r>
        <w:rPr>
          <w:rFonts w:eastAsia="仿宋_GB2312"/>
          <w:sz w:val="30"/>
          <w:szCs w:val="30"/>
        </w:rPr>
        <w:t>万元，与2023年预算相比增加（减少）</w:t>
      </w:r>
      <w:r>
        <w:rPr>
          <w:rFonts w:hint="eastAsia" w:eastAsia="仿宋_GB2312"/>
          <w:sz w:val="30"/>
          <w:szCs w:val="30"/>
        </w:rPr>
        <w:t>0.0</w:t>
      </w:r>
      <w:r>
        <w:rPr>
          <w:rFonts w:eastAsia="仿宋_GB2312"/>
          <w:sz w:val="30"/>
          <w:szCs w:val="30"/>
        </w:rPr>
        <w:t>万元，主要原因是</w:t>
      </w:r>
      <w:r>
        <w:rPr>
          <w:rFonts w:hint="eastAsia" w:eastAsia="仿宋_GB2312"/>
          <w:sz w:val="30"/>
          <w:szCs w:val="30"/>
        </w:rPr>
        <w:t>本部门一般公共预算未安排“三公”经费</w:t>
      </w:r>
      <w:r>
        <w:rPr>
          <w:rFonts w:eastAsia="仿宋_GB2312"/>
          <w:sz w:val="30"/>
          <w:szCs w:val="30"/>
        </w:rPr>
        <w:t>。</w:t>
      </w:r>
    </w:p>
    <w:p>
      <w:pPr>
        <w:spacing w:line="560" w:lineRule="exact"/>
        <w:ind w:firstLine="600" w:firstLineChars="200"/>
        <w:jc w:val="both"/>
        <w:rPr>
          <w:rFonts w:eastAsia="仿宋_GB2312"/>
          <w:sz w:val="30"/>
          <w:szCs w:val="30"/>
        </w:rPr>
      </w:pPr>
      <w:r>
        <w:rPr>
          <w:rFonts w:eastAsia="仿宋_GB2312"/>
          <w:sz w:val="30"/>
          <w:szCs w:val="30"/>
        </w:rPr>
        <w:t>二、2024年公务用车购置及运行费预算</w:t>
      </w:r>
      <w:r>
        <w:rPr>
          <w:rFonts w:hint="eastAsia" w:eastAsia="仿宋_GB2312"/>
          <w:sz w:val="30"/>
          <w:szCs w:val="30"/>
        </w:rPr>
        <w:t>0.0</w:t>
      </w:r>
      <w:r>
        <w:rPr>
          <w:rFonts w:eastAsia="仿宋_GB2312"/>
          <w:sz w:val="30"/>
          <w:szCs w:val="30"/>
        </w:rPr>
        <w:t>万元，其中公务用车运行费</w:t>
      </w:r>
      <w:r>
        <w:rPr>
          <w:rFonts w:hint="eastAsia" w:eastAsia="仿宋_GB2312"/>
          <w:sz w:val="30"/>
          <w:szCs w:val="30"/>
        </w:rPr>
        <w:t>0.0</w:t>
      </w:r>
      <w:r>
        <w:rPr>
          <w:rFonts w:eastAsia="仿宋_GB2312"/>
          <w:sz w:val="30"/>
          <w:szCs w:val="30"/>
        </w:rPr>
        <w:t>万元，与2023年预算相比增加（减少）</w:t>
      </w:r>
      <w:r>
        <w:rPr>
          <w:rFonts w:hint="eastAsia" w:eastAsia="仿宋_GB2312"/>
          <w:sz w:val="30"/>
          <w:szCs w:val="30"/>
        </w:rPr>
        <w:t>0.0</w:t>
      </w:r>
      <w:r>
        <w:rPr>
          <w:rFonts w:eastAsia="仿宋_GB2312"/>
          <w:sz w:val="30"/>
          <w:szCs w:val="30"/>
        </w:rPr>
        <w:t>万元，主要原因是</w:t>
      </w:r>
      <w:r>
        <w:rPr>
          <w:rFonts w:hint="eastAsia" w:eastAsia="仿宋_GB2312"/>
          <w:sz w:val="30"/>
          <w:szCs w:val="30"/>
        </w:rPr>
        <w:t>本部门一般公共预算未安排“三公”经费</w:t>
      </w:r>
      <w:r>
        <w:rPr>
          <w:rFonts w:eastAsia="仿宋_GB2312"/>
          <w:sz w:val="30"/>
          <w:szCs w:val="30"/>
        </w:rPr>
        <w:t>；公务用车购置费</w:t>
      </w:r>
      <w:r>
        <w:rPr>
          <w:rFonts w:hint="eastAsia" w:eastAsia="仿宋_GB2312"/>
          <w:sz w:val="30"/>
          <w:szCs w:val="30"/>
        </w:rPr>
        <w:t>0.0</w:t>
      </w:r>
      <w:r>
        <w:rPr>
          <w:rFonts w:eastAsia="仿宋_GB2312"/>
          <w:sz w:val="30"/>
          <w:szCs w:val="30"/>
        </w:rPr>
        <w:t>万元，与2023年预算相比增加（减少）</w:t>
      </w:r>
      <w:r>
        <w:rPr>
          <w:rFonts w:hint="eastAsia" w:eastAsia="仿宋_GB2312"/>
          <w:sz w:val="30"/>
          <w:szCs w:val="30"/>
        </w:rPr>
        <w:t>0.0</w:t>
      </w:r>
      <w:r>
        <w:rPr>
          <w:rFonts w:eastAsia="仿宋_GB2312"/>
          <w:sz w:val="30"/>
          <w:szCs w:val="30"/>
        </w:rPr>
        <w:t>万元，主要原因是</w:t>
      </w:r>
      <w:r>
        <w:rPr>
          <w:rFonts w:hint="eastAsia" w:eastAsia="仿宋_GB2312"/>
          <w:sz w:val="30"/>
          <w:szCs w:val="30"/>
        </w:rPr>
        <w:t>本部门一般公共预算未安排“三公”经费</w:t>
      </w:r>
      <w:r>
        <w:rPr>
          <w:rFonts w:eastAsia="仿宋_GB2312"/>
          <w:sz w:val="30"/>
          <w:szCs w:val="30"/>
        </w:rPr>
        <w:t>。</w:t>
      </w:r>
    </w:p>
    <w:p>
      <w:pPr>
        <w:spacing w:line="560" w:lineRule="exact"/>
        <w:ind w:firstLine="645"/>
        <w:jc w:val="both"/>
        <w:rPr>
          <w:rFonts w:eastAsia="楷体_GB2312"/>
          <w:sz w:val="30"/>
          <w:szCs w:val="30"/>
        </w:rPr>
      </w:pPr>
      <w:r>
        <w:rPr>
          <w:rFonts w:eastAsia="仿宋_GB2312"/>
          <w:sz w:val="30"/>
          <w:szCs w:val="30"/>
        </w:rPr>
        <w:t>三、2024年公务接待费预算</w:t>
      </w:r>
      <w:r>
        <w:rPr>
          <w:rFonts w:hint="eastAsia" w:eastAsia="仿宋_GB2312"/>
          <w:sz w:val="30"/>
          <w:szCs w:val="30"/>
        </w:rPr>
        <w:t>0.0</w:t>
      </w:r>
      <w:r>
        <w:rPr>
          <w:rFonts w:eastAsia="仿宋_GB2312"/>
          <w:sz w:val="30"/>
          <w:szCs w:val="30"/>
        </w:rPr>
        <w:t>万元，与2023年预算相比增加（减少）</w:t>
      </w:r>
      <w:r>
        <w:rPr>
          <w:rFonts w:hint="eastAsia" w:eastAsia="仿宋_GB2312"/>
          <w:sz w:val="30"/>
          <w:szCs w:val="30"/>
        </w:rPr>
        <w:t>0.0</w:t>
      </w:r>
      <w:r>
        <w:rPr>
          <w:rFonts w:eastAsia="仿宋_GB2312"/>
          <w:sz w:val="30"/>
          <w:szCs w:val="30"/>
        </w:rPr>
        <w:t>万元，主要原因是</w:t>
      </w:r>
      <w:r>
        <w:rPr>
          <w:rFonts w:hint="eastAsia" w:eastAsia="仿宋_GB2312"/>
          <w:sz w:val="30"/>
          <w:szCs w:val="30"/>
        </w:rPr>
        <w:t>本部门一般公共预算未安排“三公”经费</w:t>
      </w:r>
      <w:r>
        <w:rPr>
          <w:rFonts w:eastAsia="仿宋_GB2312"/>
          <w:sz w:val="30"/>
          <w:szCs w:val="30"/>
        </w:rPr>
        <w:t>。</w:t>
      </w:r>
    </w:p>
    <w:p>
      <w:pPr>
        <w:pStyle w:val="3"/>
        <w:spacing w:line="600" w:lineRule="exact"/>
        <w:ind w:firstLine="600" w:firstLineChars="200"/>
        <w:jc w:val="both"/>
        <w:rPr>
          <w:rFonts w:ascii="黑体" w:hAnsi="黑体" w:eastAsia="黑体"/>
          <w:b w:val="0"/>
          <w:sz w:val="30"/>
          <w:szCs w:val="30"/>
        </w:rPr>
      </w:pPr>
      <w:r>
        <w:rPr>
          <w:rFonts w:hint="eastAsia" w:ascii="黑体" w:hAnsi="黑体" w:eastAsia="黑体"/>
          <w:b w:val="0"/>
          <w:sz w:val="30"/>
          <w:szCs w:val="30"/>
        </w:rPr>
        <w:t>八</w:t>
      </w:r>
      <w:r>
        <w:rPr>
          <w:rFonts w:ascii="黑体" w:hAnsi="黑体" w:eastAsia="黑体"/>
          <w:b w:val="0"/>
          <w:sz w:val="30"/>
          <w:szCs w:val="30"/>
        </w:rPr>
        <w:t>、</w:t>
      </w:r>
      <w:r>
        <w:rPr>
          <w:rFonts w:hint="eastAsia" w:ascii="黑体" w:hAnsi="黑体" w:eastAsia="黑体"/>
          <w:b w:val="0"/>
          <w:sz w:val="30"/>
          <w:szCs w:val="30"/>
        </w:rPr>
        <w:t>关于</w:t>
      </w:r>
      <w:r>
        <w:rPr>
          <w:rFonts w:ascii="黑体" w:hAnsi="黑体" w:eastAsia="黑体"/>
          <w:b w:val="0"/>
          <w:sz w:val="30"/>
          <w:szCs w:val="30"/>
        </w:rPr>
        <w:t>政府性基金预算</w:t>
      </w:r>
      <w:r>
        <w:rPr>
          <w:rFonts w:hint="eastAsia" w:ascii="黑体" w:hAnsi="黑体" w:eastAsia="黑体"/>
          <w:b w:val="0"/>
          <w:sz w:val="30"/>
          <w:szCs w:val="30"/>
        </w:rPr>
        <w:t>支出</w:t>
      </w:r>
      <w:r>
        <w:rPr>
          <w:rFonts w:ascii="黑体" w:hAnsi="黑体" w:eastAsia="黑体"/>
          <w:b w:val="0"/>
          <w:sz w:val="30"/>
          <w:szCs w:val="30"/>
        </w:rPr>
        <w:t>情况</w:t>
      </w:r>
      <w:bookmarkEnd w:id="10"/>
      <w:r>
        <w:rPr>
          <w:rFonts w:hint="eastAsia" w:ascii="黑体" w:hAnsi="黑体" w:eastAsia="黑体"/>
          <w:b w:val="0"/>
          <w:sz w:val="30"/>
          <w:szCs w:val="30"/>
        </w:rPr>
        <w:t>表的说明</w:t>
      </w:r>
    </w:p>
    <w:p>
      <w:pPr>
        <w:spacing w:line="600" w:lineRule="exact"/>
        <w:ind w:left="480" w:leftChars="200"/>
        <w:jc w:val="both"/>
        <w:rPr>
          <w:rFonts w:ascii="楷体" w:hAnsi="楷体" w:eastAsia="楷体" w:cs="仿宋_GB2312"/>
          <w:b/>
          <w:sz w:val="30"/>
          <w:szCs w:val="30"/>
        </w:rPr>
      </w:pPr>
      <w:r>
        <w:rPr>
          <w:rFonts w:hint="eastAsia" w:ascii="楷体" w:hAnsi="楷体" w:eastAsia="楷体" w:cs="仿宋_GB2312"/>
          <w:b/>
          <w:sz w:val="30"/>
          <w:szCs w:val="30"/>
        </w:rPr>
        <w:t>（一）总体情况。</w:t>
      </w:r>
    </w:p>
    <w:p>
      <w:pPr>
        <w:spacing w:line="600" w:lineRule="exact"/>
        <w:ind w:firstLine="600" w:firstLineChars="200"/>
        <w:jc w:val="both"/>
        <w:rPr>
          <w:rFonts w:eastAsia="仿宋_GB2312"/>
          <w:sz w:val="30"/>
          <w:szCs w:val="30"/>
        </w:rPr>
      </w:pPr>
      <w:r>
        <w:rPr>
          <w:rFonts w:hint="eastAsia" w:eastAsia="仿宋_GB2312"/>
          <w:sz w:val="30"/>
          <w:szCs w:val="30"/>
        </w:rPr>
        <w:t>天津市安宁医院</w:t>
      </w:r>
      <w:r>
        <w:rPr>
          <w:rFonts w:eastAsia="仿宋_GB2312"/>
          <w:sz w:val="30"/>
          <w:szCs w:val="30"/>
        </w:rPr>
        <w:t>政府性基金预算</w:t>
      </w:r>
      <w:r>
        <w:rPr>
          <w:rFonts w:hint="eastAsia" w:eastAsia="仿宋_GB2312"/>
          <w:sz w:val="30"/>
          <w:szCs w:val="30"/>
        </w:rPr>
        <w:t>支出468.7</w:t>
      </w:r>
      <w:r>
        <w:rPr>
          <w:rFonts w:eastAsia="仿宋_GB2312"/>
          <w:sz w:val="30"/>
          <w:szCs w:val="30"/>
        </w:rPr>
        <w:t>万元</w:t>
      </w:r>
      <w:r>
        <w:rPr>
          <w:rFonts w:hint="eastAsia" w:ascii="仿宋_GB2312" w:eastAsia="仿宋_GB2312"/>
          <w:sz w:val="30"/>
          <w:szCs w:val="30"/>
        </w:rPr>
        <w:t>，</w:t>
      </w:r>
      <w:r>
        <w:rPr>
          <w:rFonts w:eastAsia="仿宋_GB2312"/>
          <w:sz w:val="30"/>
          <w:szCs w:val="30"/>
        </w:rPr>
        <w:t>与2023年</w:t>
      </w:r>
      <w:r>
        <w:rPr>
          <w:rFonts w:hint="eastAsia" w:eastAsia="仿宋_GB2312"/>
          <w:sz w:val="30"/>
          <w:szCs w:val="30"/>
        </w:rPr>
        <w:t>预</w:t>
      </w:r>
      <w:r>
        <w:rPr>
          <w:rFonts w:eastAsia="仿宋_GB2312"/>
          <w:sz w:val="30"/>
          <w:szCs w:val="30"/>
        </w:rPr>
        <w:t>算相比增加</w:t>
      </w:r>
      <w:r>
        <w:rPr>
          <w:rFonts w:hint="eastAsia" w:eastAsia="仿宋_GB2312"/>
          <w:sz w:val="30"/>
          <w:szCs w:val="30"/>
        </w:rPr>
        <w:t>71.8万</w:t>
      </w:r>
      <w:r>
        <w:rPr>
          <w:rFonts w:eastAsia="仿宋_GB2312"/>
          <w:sz w:val="30"/>
          <w:szCs w:val="30"/>
        </w:rPr>
        <w:t>元，</w:t>
      </w:r>
      <w:r>
        <w:rPr>
          <w:rFonts w:hint="eastAsia" w:eastAsia="仿宋_GB2312"/>
          <w:sz w:val="30"/>
          <w:szCs w:val="30"/>
        </w:rPr>
        <w:t>主要原因是新增大型修缮及专用设备购置项目增加专项支出。</w:t>
      </w:r>
    </w:p>
    <w:p>
      <w:pPr>
        <w:numPr>
          <w:ilvl w:val="0"/>
          <w:numId w:val="1"/>
        </w:numPr>
        <w:spacing w:line="600" w:lineRule="exact"/>
        <w:jc w:val="both"/>
        <w:rPr>
          <w:rFonts w:ascii="楷体" w:hAnsi="楷体" w:eastAsia="楷体"/>
          <w:sz w:val="30"/>
          <w:szCs w:val="30"/>
        </w:rPr>
      </w:pPr>
      <w:r>
        <w:rPr>
          <w:rFonts w:ascii="楷体" w:hAnsi="楷体" w:eastAsia="楷体" w:cs="仿宋_GB2312"/>
          <w:b/>
          <w:sz w:val="30"/>
          <w:szCs w:val="30"/>
        </w:rPr>
        <w:t>具体情况</w:t>
      </w:r>
      <w:r>
        <w:rPr>
          <w:rFonts w:hint="eastAsia" w:ascii="楷体" w:hAnsi="楷体" w:eastAsia="楷体" w:cs="仿宋_GB2312"/>
          <w:b/>
          <w:sz w:val="30"/>
          <w:szCs w:val="30"/>
        </w:rPr>
        <w:t>。</w:t>
      </w:r>
    </w:p>
    <w:p>
      <w:pPr>
        <w:spacing w:line="580" w:lineRule="exact"/>
        <w:ind w:firstLine="600" w:firstLineChars="200"/>
        <w:jc w:val="both"/>
        <w:rPr>
          <w:rFonts w:eastAsia="仿宋_GB2312"/>
          <w:sz w:val="30"/>
          <w:szCs w:val="30"/>
        </w:rPr>
      </w:pPr>
      <w:r>
        <w:rPr>
          <w:rFonts w:hint="eastAsia" w:eastAsia="仿宋_GB2312"/>
          <w:sz w:val="30"/>
          <w:szCs w:val="30"/>
        </w:rPr>
        <w:t>1、</w:t>
      </w:r>
      <w:r>
        <w:rPr>
          <w:rFonts w:eastAsia="仿宋_GB2312"/>
          <w:sz w:val="30"/>
          <w:szCs w:val="30"/>
        </w:rPr>
        <w:t xml:space="preserve"> “</w:t>
      </w:r>
      <w:r>
        <w:rPr>
          <w:rFonts w:hint="eastAsia" w:eastAsia="仿宋_GB2312"/>
          <w:sz w:val="30"/>
          <w:szCs w:val="30"/>
        </w:rPr>
        <w:t>其他支出”468.7</w:t>
      </w:r>
      <w:r>
        <w:rPr>
          <w:rFonts w:eastAsia="仿宋_GB2312"/>
          <w:sz w:val="30"/>
          <w:szCs w:val="30"/>
        </w:rPr>
        <w:t>万元，与2023年</w:t>
      </w:r>
      <w:r>
        <w:rPr>
          <w:rFonts w:hint="eastAsia" w:eastAsia="仿宋_GB2312"/>
          <w:sz w:val="30"/>
          <w:szCs w:val="30"/>
        </w:rPr>
        <w:t>预</w:t>
      </w:r>
      <w:r>
        <w:rPr>
          <w:rFonts w:eastAsia="仿宋_GB2312"/>
          <w:sz w:val="30"/>
          <w:szCs w:val="30"/>
        </w:rPr>
        <w:t>算相比增加</w:t>
      </w:r>
      <w:r>
        <w:rPr>
          <w:rFonts w:hint="eastAsia" w:eastAsia="仿宋_GB2312"/>
          <w:sz w:val="30"/>
          <w:szCs w:val="30"/>
        </w:rPr>
        <w:t>71.8万</w:t>
      </w:r>
      <w:r>
        <w:rPr>
          <w:rFonts w:eastAsia="仿宋_GB2312"/>
          <w:sz w:val="30"/>
          <w:szCs w:val="30"/>
        </w:rPr>
        <w:t>元，</w:t>
      </w:r>
      <w:r>
        <w:rPr>
          <w:rFonts w:hint="eastAsia" w:eastAsia="仿宋_GB2312"/>
          <w:sz w:val="30"/>
          <w:szCs w:val="30"/>
        </w:rPr>
        <w:t>主要原因是新增大型修缮及专用设备购置项目增加专项支出</w:t>
      </w:r>
      <w:r>
        <w:rPr>
          <w:rFonts w:eastAsia="仿宋_GB2312"/>
          <w:sz w:val="30"/>
          <w:szCs w:val="30"/>
        </w:rPr>
        <w:t>，其中：</w:t>
      </w:r>
    </w:p>
    <w:p>
      <w:pPr>
        <w:spacing w:line="580" w:lineRule="exact"/>
        <w:ind w:firstLine="600" w:firstLineChars="200"/>
        <w:jc w:val="both"/>
        <w:rPr>
          <w:rFonts w:ascii="楷体" w:hAnsi="楷体" w:eastAsia="楷体" w:cs="楷体"/>
          <w:sz w:val="30"/>
          <w:szCs w:val="30"/>
        </w:rPr>
      </w:pPr>
      <w:r>
        <w:rPr>
          <w:rFonts w:hint="eastAsia" w:eastAsia="仿宋_GB2312"/>
          <w:sz w:val="30"/>
          <w:szCs w:val="30"/>
        </w:rPr>
        <w:t>“彩票公益金安排的支出”468.7</w:t>
      </w:r>
      <w:r>
        <w:rPr>
          <w:rFonts w:eastAsia="仿宋_GB2312"/>
          <w:sz w:val="30"/>
          <w:szCs w:val="30"/>
        </w:rPr>
        <w:t>万元，</w:t>
      </w:r>
      <w:r>
        <w:rPr>
          <w:rFonts w:hint="eastAsia" w:eastAsia="仿宋_GB2312"/>
          <w:sz w:val="30"/>
          <w:szCs w:val="30"/>
        </w:rPr>
        <w:t>包括</w:t>
      </w:r>
      <w:r>
        <w:rPr>
          <w:rFonts w:eastAsia="仿宋_GB2312"/>
          <w:sz w:val="30"/>
          <w:szCs w:val="30"/>
        </w:rPr>
        <w:t>：</w:t>
      </w:r>
      <w:r>
        <w:rPr>
          <w:rFonts w:hint="eastAsia" w:eastAsia="仿宋_GB2312"/>
          <w:sz w:val="30"/>
          <w:szCs w:val="30"/>
        </w:rPr>
        <w:t>“用于社会福利的彩票公益金支出”468.7</w:t>
      </w:r>
      <w:r>
        <w:rPr>
          <w:rFonts w:eastAsia="仿宋_GB2312"/>
          <w:sz w:val="30"/>
          <w:szCs w:val="30"/>
        </w:rPr>
        <w:t>万元，主要用于</w:t>
      </w:r>
      <w:r>
        <w:rPr>
          <w:rFonts w:hint="eastAsia" w:eastAsia="仿宋_GB2312"/>
          <w:sz w:val="30"/>
          <w:szCs w:val="30"/>
        </w:rPr>
        <w:t>医疗业务用房的修缮以及专用设备购置</w:t>
      </w:r>
      <w:r>
        <w:rPr>
          <w:rFonts w:eastAsia="仿宋_GB2312"/>
          <w:sz w:val="30"/>
          <w:szCs w:val="30"/>
        </w:rPr>
        <w:t>。</w:t>
      </w:r>
    </w:p>
    <w:p>
      <w:pPr>
        <w:pStyle w:val="3"/>
        <w:spacing w:line="600" w:lineRule="exact"/>
        <w:ind w:firstLine="600" w:firstLineChars="200"/>
        <w:rPr>
          <w:rFonts w:ascii="黑体" w:hAnsi="黑体" w:eastAsia="黑体"/>
          <w:b w:val="0"/>
          <w:sz w:val="30"/>
          <w:szCs w:val="30"/>
        </w:rPr>
      </w:pPr>
      <w:bookmarkStart w:id="11" w:name="_Toc78784578"/>
      <w:r>
        <w:rPr>
          <w:rFonts w:hint="eastAsia" w:ascii="黑体" w:hAnsi="黑体" w:eastAsia="黑体"/>
          <w:b w:val="0"/>
          <w:sz w:val="30"/>
          <w:szCs w:val="30"/>
        </w:rPr>
        <w:t>九、关于国有资本经营预算支出情况表</w:t>
      </w:r>
      <w:bookmarkEnd w:id="11"/>
      <w:r>
        <w:rPr>
          <w:rFonts w:hint="eastAsia" w:ascii="黑体" w:hAnsi="黑体" w:eastAsia="黑体"/>
          <w:b w:val="0"/>
          <w:sz w:val="30"/>
          <w:szCs w:val="30"/>
        </w:rPr>
        <w:t>的说明</w:t>
      </w:r>
    </w:p>
    <w:p>
      <w:pPr>
        <w:spacing w:line="600" w:lineRule="exact"/>
        <w:ind w:firstLine="600" w:firstLineChars="200"/>
        <w:rPr>
          <w:rFonts w:ascii="楷体" w:hAnsi="楷体" w:eastAsia="仿宋_GB2312" w:cs="楷体"/>
          <w:sz w:val="30"/>
          <w:szCs w:val="30"/>
        </w:rPr>
      </w:pPr>
      <w:r>
        <w:rPr>
          <w:rFonts w:hint="eastAsia" w:eastAsia="仿宋_GB2312"/>
          <w:sz w:val="30"/>
          <w:szCs w:val="30"/>
        </w:rPr>
        <w:t>2024年天津市安宁医院预算中没有使用国有资本经营预算安排的支出。</w:t>
      </w:r>
    </w:p>
    <w:p>
      <w:pPr>
        <w:pStyle w:val="3"/>
        <w:spacing w:line="600" w:lineRule="exact"/>
        <w:ind w:firstLine="600" w:firstLineChars="200"/>
        <w:rPr>
          <w:rFonts w:ascii="黑体" w:hAnsi="黑体" w:eastAsia="黑体"/>
          <w:b w:val="0"/>
          <w:sz w:val="30"/>
          <w:szCs w:val="30"/>
        </w:rPr>
      </w:pPr>
      <w:bookmarkStart w:id="12" w:name="_Toc78784579"/>
      <w:r>
        <w:rPr>
          <w:rFonts w:hint="eastAsia" w:ascii="黑体" w:hAnsi="黑体" w:eastAsia="黑体"/>
          <w:b w:val="0"/>
          <w:sz w:val="30"/>
          <w:szCs w:val="30"/>
        </w:rPr>
        <w:t>十、其他重要事项的情况说明</w:t>
      </w:r>
    </w:p>
    <w:p>
      <w:pPr>
        <w:spacing w:line="600" w:lineRule="exact"/>
        <w:ind w:left="480" w:leftChars="200"/>
        <w:rPr>
          <w:rFonts w:ascii="楷体" w:hAnsi="楷体" w:eastAsia="楷体" w:cs="仿宋_GB2312"/>
          <w:b/>
          <w:sz w:val="30"/>
          <w:szCs w:val="30"/>
        </w:rPr>
      </w:pPr>
      <w:r>
        <w:rPr>
          <w:rFonts w:hint="eastAsia" w:ascii="楷体" w:hAnsi="楷体" w:eastAsia="楷体" w:cs="仿宋_GB2312"/>
          <w:b/>
          <w:sz w:val="30"/>
          <w:szCs w:val="30"/>
        </w:rPr>
        <w:t>（一）</w:t>
      </w:r>
      <w:r>
        <w:rPr>
          <w:rFonts w:ascii="楷体" w:hAnsi="楷体" w:eastAsia="楷体" w:cs="仿宋_GB2312"/>
          <w:b/>
          <w:sz w:val="30"/>
          <w:szCs w:val="30"/>
        </w:rPr>
        <w:t>机关运行经费</w:t>
      </w:r>
      <w:bookmarkEnd w:id="12"/>
      <w:r>
        <w:rPr>
          <w:rFonts w:hint="eastAsia" w:ascii="楷体" w:hAnsi="楷体" w:eastAsia="楷体" w:cs="仿宋_GB2312"/>
          <w:b/>
          <w:sz w:val="30"/>
          <w:szCs w:val="30"/>
        </w:rPr>
        <w:t>。</w:t>
      </w:r>
    </w:p>
    <w:p>
      <w:pPr>
        <w:spacing w:line="600" w:lineRule="exact"/>
        <w:ind w:firstLine="600" w:firstLineChars="200"/>
        <w:rPr>
          <w:rFonts w:eastAsia="仿宋_GB2312"/>
          <w:sz w:val="30"/>
          <w:szCs w:val="30"/>
        </w:rPr>
      </w:pPr>
      <w:r>
        <w:rPr>
          <w:rFonts w:hint="eastAsia" w:eastAsia="仿宋_GB2312"/>
          <w:sz w:val="30"/>
          <w:szCs w:val="30"/>
        </w:rPr>
        <w:t>本部门2024年未安排机关运行经费预算。</w:t>
      </w:r>
    </w:p>
    <w:p>
      <w:pPr>
        <w:spacing w:line="600" w:lineRule="exact"/>
        <w:ind w:firstLine="602" w:firstLineChars="200"/>
        <w:rPr>
          <w:rFonts w:eastAsia="楷体_GB2312"/>
          <w:b/>
          <w:sz w:val="30"/>
          <w:szCs w:val="30"/>
        </w:rPr>
      </w:pPr>
      <w:r>
        <w:rPr>
          <w:rFonts w:hint="eastAsia" w:ascii="楷体" w:hAnsi="楷体" w:eastAsia="楷体" w:cs="仿宋_GB2312"/>
          <w:b/>
          <w:sz w:val="30"/>
          <w:szCs w:val="30"/>
        </w:rPr>
        <w:t>（二）</w:t>
      </w:r>
      <w:r>
        <w:rPr>
          <w:rFonts w:eastAsia="楷体_GB2312"/>
          <w:b/>
          <w:sz w:val="30"/>
          <w:szCs w:val="30"/>
        </w:rPr>
        <w:t>政府采购情况</w:t>
      </w:r>
      <w:r>
        <w:rPr>
          <w:rFonts w:hint="eastAsia" w:ascii="楷体" w:hAnsi="楷体" w:eastAsia="楷体" w:cs="仿宋_GB2312"/>
          <w:b/>
          <w:sz w:val="30"/>
          <w:szCs w:val="30"/>
        </w:rPr>
        <w:t>。</w:t>
      </w:r>
    </w:p>
    <w:p>
      <w:pPr>
        <w:spacing w:line="580" w:lineRule="exact"/>
        <w:ind w:firstLine="600" w:firstLineChars="200"/>
        <w:jc w:val="both"/>
        <w:rPr>
          <w:rFonts w:eastAsia="仿宋_GB2312"/>
          <w:color w:val="000000"/>
          <w:sz w:val="30"/>
          <w:szCs w:val="30"/>
        </w:rPr>
      </w:pPr>
      <w:r>
        <w:rPr>
          <w:rFonts w:eastAsia="仿宋_GB2312"/>
          <w:sz w:val="30"/>
          <w:szCs w:val="30"/>
        </w:rPr>
        <w:t>本部门2024年安排政府采购预算</w:t>
      </w:r>
      <w:r>
        <w:rPr>
          <w:rFonts w:hint="eastAsia" w:eastAsia="仿宋_GB2312"/>
          <w:sz w:val="30"/>
          <w:szCs w:val="30"/>
        </w:rPr>
        <w:t>2691.9</w:t>
      </w:r>
      <w:r>
        <w:rPr>
          <w:rFonts w:eastAsia="仿宋_GB2312"/>
          <w:sz w:val="30"/>
          <w:szCs w:val="30"/>
        </w:rPr>
        <w:t>万元，</w:t>
      </w:r>
      <w:r>
        <w:rPr>
          <w:rFonts w:hint="eastAsia" w:ascii="仿宋_GB2312" w:hAnsi="宋体" w:eastAsia="仿宋_GB2312" w:cs="仿宋_GB2312"/>
          <w:color w:val="000000"/>
          <w:sz w:val="30"/>
          <w:szCs w:val="30"/>
        </w:rPr>
        <w:t>其中：政府采购货物支出</w:t>
      </w:r>
      <w:r>
        <w:rPr>
          <w:rFonts w:hint="eastAsia" w:eastAsia="仿宋_GB2312"/>
          <w:sz w:val="30"/>
          <w:szCs w:val="30"/>
        </w:rPr>
        <w:t>69.9</w:t>
      </w:r>
      <w:r>
        <w:rPr>
          <w:rFonts w:hint="eastAsia" w:ascii="仿宋_GB2312" w:hAnsi="宋体" w:eastAsia="仿宋_GB2312" w:cs="仿宋_GB2312"/>
          <w:color w:val="000000"/>
          <w:sz w:val="30"/>
          <w:szCs w:val="30"/>
        </w:rPr>
        <w:t>万元、政府采购工程支出</w:t>
      </w:r>
      <w:r>
        <w:rPr>
          <w:rFonts w:hint="eastAsia" w:eastAsia="仿宋_GB2312"/>
          <w:sz w:val="30"/>
          <w:szCs w:val="30"/>
        </w:rPr>
        <w:t>499.7</w:t>
      </w:r>
      <w:r>
        <w:rPr>
          <w:rFonts w:hint="eastAsia" w:ascii="仿宋_GB2312" w:hAnsi="宋体" w:eastAsia="仿宋_GB2312" w:cs="仿宋_GB2312"/>
          <w:color w:val="000000"/>
          <w:sz w:val="30"/>
          <w:szCs w:val="30"/>
        </w:rPr>
        <w:t>万元、政府采购服务支出</w:t>
      </w:r>
      <w:r>
        <w:rPr>
          <w:rFonts w:hint="eastAsia" w:eastAsia="仿宋_GB2312"/>
          <w:sz w:val="30"/>
          <w:szCs w:val="30"/>
        </w:rPr>
        <w:t>2122.3</w:t>
      </w:r>
      <w:r>
        <w:rPr>
          <w:rFonts w:hint="eastAsia" w:ascii="仿宋_GB2312" w:hAnsi="宋体" w:eastAsia="仿宋_GB2312" w:cs="仿宋_GB2312"/>
          <w:color w:val="000000"/>
          <w:sz w:val="30"/>
          <w:szCs w:val="30"/>
        </w:rPr>
        <w:t>万元。</w:t>
      </w:r>
      <w:r>
        <w:rPr>
          <w:rFonts w:hint="eastAsia" w:eastAsia="仿宋_GB2312"/>
          <w:color w:val="000000"/>
          <w:sz w:val="30"/>
          <w:szCs w:val="30"/>
        </w:rPr>
        <w:t>主要</w:t>
      </w:r>
      <w:r>
        <w:rPr>
          <w:rFonts w:eastAsia="仿宋_GB2312"/>
          <w:color w:val="000000"/>
          <w:sz w:val="30"/>
          <w:szCs w:val="30"/>
        </w:rPr>
        <w:t>项目是</w:t>
      </w:r>
      <w:r>
        <w:rPr>
          <w:rFonts w:hint="eastAsia" w:eastAsia="仿宋_GB2312"/>
          <w:color w:val="000000"/>
          <w:sz w:val="30"/>
          <w:szCs w:val="30"/>
        </w:rPr>
        <w:t>：2024年预算公用经费项目（财政拨款一般公共预算）127.0</w:t>
      </w:r>
      <w:r>
        <w:rPr>
          <w:rFonts w:eastAsia="仿宋_GB2312"/>
          <w:color w:val="000000"/>
          <w:sz w:val="30"/>
          <w:szCs w:val="30"/>
        </w:rPr>
        <w:t>万元</w:t>
      </w:r>
      <w:r>
        <w:rPr>
          <w:rFonts w:hint="eastAsia" w:eastAsia="仿宋_GB2312"/>
          <w:color w:val="000000"/>
          <w:sz w:val="30"/>
          <w:szCs w:val="30"/>
        </w:rPr>
        <w:t>，2024年预算公用经费项目（其他刚性支出）838.9</w:t>
      </w:r>
      <w:r>
        <w:rPr>
          <w:rFonts w:eastAsia="仿宋_GB2312"/>
          <w:color w:val="000000"/>
          <w:sz w:val="30"/>
          <w:szCs w:val="30"/>
        </w:rPr>
        <w:t>万元</w:t>
      </w:r>
      <w:r>
        <w:rPr>
          <w:rFonts w:hint="eastAsia" w:eastAsia="仿宋_GB2312"/>
          <w:color w:val="000000"/>
          <w:sz w:val="30"/>
          <w:szCs w:val="30"/>
        </w:rPr>
        <w:t>，天津市安宁医院电力增容改造项目（2024年市级福彩）60.0万元，天津市安宁医院电力增容改造项目（2024年非财政资金）10.0万元，天津市安宁医院东丽精神卫生经费项目（2024年非财政资金）40.0万元，天津市安宁医院集中供养人员基本生活费（2024年）2.0万元，天津市安宁医院集中供养人员基本生活费（2024年-市级残保金）160.0万元，天津市安宁医院迁址新建项目-2021年一般债券240.3万元，天津市安宁医院区县特困患者救助结转项目（2024年非财政资金）50.0万元，天津市安宁医院区县特困患者救助结转项目（2024年非财政资金）340.0万元，天津市安宁医院信息化项目（2024年非财政资金）345.0万元，天津市安宁医院医疗设备购置项目（2024年中央基金）49.0万元，天津市安宁医院住院部1号楼加固工程（2023年市级福彩）19.7万元，天津市安宁医院住院部2#楼建筑结构加固工程项目（2024年市级福彩）340.0万元，天津市安宁医院住院部2#楼建筑结构加固工程（2024年非财政资金）70.0万元。</w:t>
      </w:r>
    </w:p>
    <w:p>
      <w:pPr>
        <w:spacing w:line="600" w:lineRule="exact"/>
        <w:ind w:firstLine="602" w:firstLineChars="200"/>
        <w:rPr>
          <w:rFonts w:eastAsia="楷体_GB2312"/>
          <w:b/>
          <w:sz w:val="30"/>
          <w:szCs w:val="30"/>
        </w:rPr>
      </w:pPr>
      <w:r>
        <w:rPr>
          <w:rFonts w:eastAsia="楷体_GB2312"/>
          <w:b/>
          <w:sz w:val="30"/>
          <w:szCs w:val="30"/>
        </w:rPr>
        <w:t>（</w:t>
      </w:r>
      <w:r>
        <w:rPr>
          <w:rFonts w:hint="eastAsia" w:eastAsia="楷体_GB2312"/>
          <w:b/>
          <w:sz w:val="30"/>
          <w:szCs w:val="30"/>
        </w:rPr>
        <w:t>三</w:t>
      </w:r>
      <w:r>
        <w:rPr>
          <w:rFonts w:eastAsia="楷体_GB2312"/>
          <w:b/>
          <w:sz w:val="30"/>
          <w:szCs w:val="30"/>
        </w:rPr>
        <w:t>）</w:t>
      </w:r>
      <w:r>
        <w:rPr>
          <w:rFonts w:hint="eastAsia" w:eastAsia="楷体_GB2312"/>
          <w:b/>
          <w:sz w:val="30"/>
          <w:szCs w:val="30"/>
        </w:rPr>
        <w:t>国有资产占用情况。</w:t>
      </w:r>
    </w:p>
    <w:p>
      <w:pPr>
        <w:spacing w:line="580" w:lineRule="exact"/>
        <w:ind w:firstLine="600" w:firstLineChars="200"/>
        <w:jc w:val="both"/>
        <w:rPr>
          <w:rFonts w:eastAsia="仿宋_GB2312"/>
          <w:sz w:val="30"/>
          <w:szCs w:val="30"/>
        </w:rPr>
      </w:pPr>
      <w:r>
        <w:rPr>
          <w:rFonts w:hint="eastAsia" w:ascii="仿宋_GB2312" w:hAnsi="宋体" w:eastAsia="仿宋_GB2312" w:cs="仿宋_GB2312"/>
          <w:color w:val="000000"/>
          <w:sz w:val="30"/>
          <w:szCs w:val="30"/>
        </w:rPr>
        <w:t>截至</w:t>
      </w:r>
      <w:r>
        <w:rPr>
          <w:rFonts w:hint="eastAsia" w:eastAsia="仿宋_GB2312"/>
          <w:color w:val="000000"/>
          <w:sz w:val="30"/>
          <w:szCs w:val="30"/>
        </w:rPr>
        <w:t>2023</w:t>
      </w:r>
      <w:r>
        <w:rPr>
          <w:rFonts w:hint="eastAsia" w:ascii="仿宋_GB2312" w:hAnsi="宋体" w:eastAsia="仿宋_GB2312" w:cs="仿宋_GB2312"/>
          <w:color w:val="000000"/>
          <w:sz w:val="30"/>
          <w:szCs w:val="30"/>
        </w:rPr>
        <w:t>年</w:t>
      </w:r>
      <w:r>
        <w:rPr>
          <w:rFonts w:hint="eastAsia" w:eastAsia="仿宋_GB2312"/>
          <w:color w:val="000000"/>
          <w:sz w:val="30"/>
          <w:szCs w:val="30"/>
        </w:rPr>
        <w:t>7</w:t>
      </w:r>
      <w:r>
        <w:rPr>
          <w:rFonts w:hint="eastAsia" w:ascii="仿宋_GB2312" w:hAnsi="宋体" w:eastAsia="仿宋_GB2312" w:cs="仿宋_GB2312"/>
          <w:color w:val="000000"/>
          <w:sz w:val="30"/>
          <w:szCs w:val="30"/>
        </w:rPr>
        <w:t>月底，本部门各单位共有车辆</w:t>
      </w:r>
      <w:r>
        <w:rPr>
          <w:rFonts w:hint="eastAsia" w:eastAsia="仿宋_GB2312"/>
          <w:color w:val="000000"/>
          <w:sz w:val="30"/>
          <w:szCs w:val="30"/>
        </w:rPr>
        <w:t>0</w:t>
      </w:r>
      <w:r>
        <w:rPr>
          <w:rFonts w:hint="eastAsia" w:ascii="仿宋_GB2312" w:hAnsi="宋体" w:eastAsia="仿宋_GB2312" w:cs="仿宋_GB2312"/>
          <w:color w:val="000000"/>
          <w:sz w:val="30"/>
          <w:szCs w:val="30"/>
        </w:rPr>
        <w:t>辆，其中：副部（省）级及以上领导用车</w:t>
      </w:r>
      <w:r>
        <w:rPr>
          <w:rFonts w:hint="eastAsia" w:eastAsia="仿宋_GB2312"/>
          <w:color w:val="000000"/>
          <w:sz w:val="30"/>
          <w:szCs w:val="30"/>
        </w:rPr>
        <w:t>0</w:t>
      </w:r>
      <w:r>
        <w:rPr>
          <w:rFonts w:hint="eastAsia" w:ascii="仿宋_GB2312" w:hAnsi="宋体" w:eastAsia="仿宋_GB2312" w:cs="仿宋_GB2312"/>
          <w:color w:val="000000"/>
          <w:sz w:val="30"/>
          <w:szCs w:val="30"/>
        </w:rPr>
        <w:t>辆、主要</w:t>
      </w:r>
      <w:r>
        <w:rPr>
          <w:rFonts w:hint="eastAsia" w:ascii="仿宋_GB2312" w:hAnsi="宋体" w:eastAsia="仿宋_GB2312" w:cs="仿宋_GB2312"/>
          <w:color w:val="000000"/>
          <w:sz w:val="30"/>
          <w:szCs w:val="30"/>
          <w:lang w:eastAsia="zh-CN"/>
        </w:rPr>
        <w:t>负责人</w:t>
      </w:r>
      <w:r>
        <w:rPr>
          <w:rFonts w:hint="eastAsia" w:ascii="仿宋_GB2312" w:hAnsi="宋体" w:eastAsia="仿宋_GB2312" w:cs="仿宋_GB2312"/>
          <w:color w:val="000000"/>
          <w:sz w:val="30"/>
          <w:szCs w:val="30"/>
        </w:rPr>
        <w:t>干部用车</w:t>
      </w:r>
      <w:r>
        <w:rPr>
          <w:rFonts w:hint="eastAsia" w:eastAsia="仿宋_GB2312"/>
          <w:color w:val="000000"/>
          <w:sz w:val="30"/>
          <w:szCs w:val="30"/>
        </w:rPr>
        <w:t>0</w:t>
      </w:r>
      <w:r>
        <w:rPr>
          <w:rFonts w:hint="eastAsia" w:ascii="仿宋_GB2312" w:hAnsi="宋体" w:eastAsia="仿宋_GB2312" w:cs="仿宋_GB2312"/>
          <w:color w:val="000000"/>
          <w:sz w:val="30"/>
          <w:szCs w:val="30"/>
        </w:rPr>
        <w:t>辆、机要通信用车</w:t>
      </w:r>
      <w:r>
        <w:rPr>
          <w:rFonts w:hint="eastAsia" w:eastAsia="仿宋_GB2312"/>
          <w:color w:val="000000"/>
          <w:sz w:val="30"/>
          <w:szCs w:val="30"/>
        </w:rPr>
        <w:t>0</w:t>
      </w:r>
      <w:r>
        <w:rPr>
          <w:rFonts w:hint="eastAsia" w:ascii="仿宋_GB2312" w:hAnsi="宋体" w:eastAsia="仿宋_GB2312" w:cs="仿宋_GB2312"/>
          <w:color w:val="000000"/>
          <w:sz w:val="30"/>
          <w:szCs w:val="30"/>
        </w:rPr>
        <w:t>辆、应急保障用车</w:t>
      </w:r>
      <w:r>
        <w:rPr>
          <w:rFonts w:hint="eastAsia" w:eastAsia="仿宋_GB2312"/>
          <w:color w:val="000000"/>
          <w:sz w:val="30"/>
          <w:szCs w:val="30"/>
        </w:rPr>
        <w:t>0</w:t>
      </w:r>
      <w:r>
        <w:rPr>
          <w:rFonts w:hint="eastAsia" w:ascii="仿宋_GB2312" w:hAnsi="宋体" w:eastAsia="仿宋_GB2312" w:cs="仿宋_GB2312"/>
          <w:color w:val="000000"/>
          <w:sz w:val="30"/>
          <w:szCs w:val="30"/>
        </w:rPr>
        <w:t>辆、执法执勤用车</w:t>
      </w:r>
      <w:r>
        <w:rPr>
          <w:rFonts w:hint="eastAsia" w:eastAsia="仿宋_GB2312"/>
          <w:color w:val="000000"/>
          <w:sz w:val="30"/>
          <w:szCs w:val="30"/>
        </w:rPr>
        <w:t>0</w:t>
      </w:r>
      <w:r>
        <w:rPr>
          <w:rFonts w:hint="eastAsia" w:ascii="仿宋_GB2312" w:hAnsi="宋体" w:eastAsia="仿宋_GB2312" w:cs="仿宋_GB2312"/>
          <w:color w:val="000000"/>
          <w:sz w:val="30"/>
          <w:szCs w:val="30"/>
        </w:rPr>
        <w:t>辆</w:t>
      </w:r>
      <w:bookmarkStart w:id="14" w:name="_GoBack"/>
      <w:bookmarkEnd w:id="14"/>
      <w:r>
        <w:rPr>
          <w:rFonts w:hint="eastAsia" w:ascii="仿宋_GB2312" w:hAnsi="宋体" w:eastAsia="仿宋_GB2312" w:cs="仿宋_GB2312"/>
          <w:color w:val="000000"/>
          <w:sz w:val="30"/>
          <w:szCs w:val="30"/>
        </w:rPr>
        <w:t>、特种专业技术用车</w:t>
      </w:r>
      <w:r>
        <w:rPr>
          <w:rFonts w:hint="eastAsia" w:eastAsia="仿宋_GB2312"/>
          <w:color w:val="000000"/>
          <w:sz w:val="30"/>
          <w:szCs w:val="30"/>
        </w:rPr>
        <w:t>0</w:t>
      </w:r>
      <w:r>
        <w:rPr>
          <w:rFonts w:hint="eastAsia" w:ascii="仿宋_GB2312" w:hAnsi="宋体" w:eastAsia="仿宋_GB2312" w:cs="仿宋_GB2312"/>
          <w:color w:val="000000"/>
          <w:sz w:val="30"/>
          <w:szCs w:val="30"/>
        </w:rPr>
        <w:t>辆、离退休干部</w:t>
      </w:r>
      <w:r>
        <w:rPr>
          <w:rFonts w:hint="eastAsia" w:ascii="仿宋_GB2312" w:hAnsi="宋体" w:eastAsia="仿宋_GB2312" w:cs="仿宋_GB2312"/>
          <w:color w:val="000000"/>
          <w:sz w:val="30"/>
          <w:szCs w:val="30"/>
          <w:lang w:eastAsia="zh-CN"/>
        </w:rPr>
        <w:t>服务</w:t>
      </w:r>
      <w:r>
        <w:rPr>
          <w:rFonts w:hint="eastAsia" w:ascii="仿宋_GB2312" w:hAnsi="宋体" w:eastAsia="仿宋_GB2312" w:cs="仿宋_GB2312"/>
          <w:color w:val="000000"/>
          <w:sz w:val="30"/>
          <w:szCs w:val="30"/>
        </w:rPr>
        <w:t>用车</w:t>
      </w:r>
      <w:r>
        <w:rPr>
          <w:rFonts w:hint="eastAsia" w:eastAsia="仿宋_GB2312"/>
          <w:color w:val="000000"/>
          <w:sz w:val="30"/>
          <w:szCs w:val="30"/>
        </w:rPr>
        <w:t>0</w:t>
      </w:r>
      <w:r>
        <w:rPr>
          <w:rFonts w:hint="eastAsia" w:ascii="仿宋_GB2312" w:hAnsi="宋体" w:eastAsia="仿宋_GB2312" w:cs="仿宋_GB2312"/>
          <w:color w:val="000000"/>
          <w:sz w:val="30"/>
          <w:szCs w:val="30"/>
        </w:rPr>
        <w:t>辆、其他用车</w:t>
      </w:r>
      <w:r>
        <w:rPr>
          <w:rFonts w:hint="eastAsia" w:eastAsia="仿宋_GB2312"/>
          <w:color w:val="000000"/>
          <w:sz w:val="30"/>
          <w:szCs w:val="30"/>
        </w:rPr>
        <w:t>0</w:t>
      </w:r>
      <w:r>
        <w:rPr>
          <w:rFonts w:hint="eastAsia" w:ascii="仿宋_GB2312" w:hAnsi="宋体" w:eastAsia="仿宋_GB2312" w:cs="仿宋_GB2312"/>
          <w:color w:val="000000"/>
          <w:sz w:val="30"/>
          <w:szCs w:val="30"/>
        </w:rPr>
        <w:t>辆，其他用车主要包括</w:t>
      </w:r>
      <w:r>
        <w:rPr>
          <w:rFonts w:hint="eastAsia" w:eastAsia="仿宋_GB2312"/>
          <w:color w:val="000000"/>
          <w:sz w:val="30"/>
          <w:szCs w:val="30"/>
        </w:rPr>
        <w:t>0</w:t>
      </w:r>
      <w:r>
        <w:rPr>
          <w:rFonts w:hint="eastAsia" w:ascii="仿宋_GB2312" w:hAnsi="宋体" w:eastAsia="仿宋_GB2312" w:cs="仿宋_GB2312"/>
          <w:color w:val="000000"/>
          <w:sz w:val="30"/>
          <w:szCs w:val="30"/>
        </w:rPr>
        <w:t>。单价（账面原值）</w:t>
      </w:r>
      <w:r>
        <w:rPr>
          <w:rFonts w:hint="eastAsia" w:eastAsia="仿宋_GB2312"/>
          <w:color w:val="000000"/>
          <w:sz w:val="30"/>
          <w:szCs w:val="30"/>
        </w:rPr>
        <w:t>100</w:t>
      </w:r>
      <w:r>
        <w:rPr>
          <w:rFonts w:hint="eastAsia" w:ascii="仿宋_GB2312" w:hAnsi="宋体" w:eastAsia="仿宋_GB2312" w:cs="仿宋_GB2312"/>
          <w:color w:val="000000"/>
          <w:sz w:val="30"/>
          <w:szCs w:val="30"/>
        </w:rPr>
        <w:t>万元以上的设备</w:t>
      </w:r>
      <w:r>
        <w:rPr>
          <w:rFonts w:hint="eastAsia" w:eastAsia="仿宋_GB2312"/>
          <w:color w:val="000000"/>
          <w:sz w:val="30"/>
          <w:szCs w:val="30"/>
        </w:rPr>
        <w:t>4</w:t>
      </w:r>
      <w:r>
        <w:rPr>
          <w:rFonts w:hint="eastAsia" w:ascii="仿宋_GB2312" w:hAnsi="宋体" w:eastAsia="仿宋_GB2312" w:cs="仿宋_GB2312"/>
          <w:color w:val="000000"/>
          <w:sz w:val="30"/>
          <w:szCs w:val="30"/>
        </w:rPr>
        <w:t>台（套）。</w:t>
      </w:r>
    </w:p>
    <w:p>
      <w:pPr>
        <w:spacing w:line="600" w:lineRule="exact"/>
        <w:ind w:firstLine="602" w:firstLineChars="200"/>
        <w:rPr>
          <w:rFonts w:eastAsia="楷体_GB2312"/>
          <w:b/>
          <w:sz w:val="30"/>
          <w:szCs w:val="30"/>
        </w:rPr>
      </w:pPr>
      <w:r>
        <w:rPr>
          <w:rFonts w:eastAsia="楷体_GB2312"/>
          <w:b/>
          <w:sz w:val="30"/>
          <w:szCs w:val="30"/>
        </w:rPr>
        <w:t>（</w:t>
      </w:r>
      <w:r>
        <w:rPr>
          <w:rFonts w:hint="eastAsia" w:eastAsia="楷体_GB2312"/>
          <w:b/>
          <w:sz w:val="30"/>
          <w:szCs w:val="30"/>
        </w:rPr>
        <w:t>四</w:t>
      </w:r>
      <w:r>
        <w:rPr>
          <w:rFonts w:eastAsia="楷体_GB2312"/>
          <w:b/>
          <w:sz w:val="30"/>
          <w:szCs w:val="30"/>
        </w:rPr>
        <w:t>）</w:t>
      </w:r>
      <w:r>
        <w:rPr>
          <w:rFonts w:hint="eastAsia" w:eastAsia="楷体_GB2312"/>
          <w:b/>
          <w:sz w:val="30"/>
          <w:szCs w:val="30"/>
        </w:rPr>
        <w:t>预算绩效情况说明。</w:t>
      </w:r>
    </w:p>
    <w:p>
      <w:pPr>
        <w:spacing w:line="580" w:lineRule="exact"/>
        <w:ind w:left="151" w:leftChars="63" w:firstLine="450" w:firstLineChars="150"/>
        <w:jc w:val="both"/>
        <w:rPr>
          <w:rFonts w:eastAsia="仿宋_GB2312"/>
          <w:color w:val="000000"/>
          <w:sz w:val="30"/>
          <w:szCs w:val="30"/>
        </w:rPr>
      </w:pPr>
      <w:r>
        <w:rPr>
          <w:rFonts w:eastAsia="仿宋_GB2312"/>
          <w:color w:val="000000"/>
          <w:sz w:val="30"/>
          <w:szCs w:val="30"/>
        </w:rPr>
        <w:t>本部门2024年实行绩效目标管理的项目</w:t>
      </w:r>
      <w:r>
        <w:rPr>
          <w:rFonts w:hint="eastAsia" w:eastAsia="仿宋_GB2312"/>
          <w:color w:val="000000"/>
          <w:sz w:val="30"/>
          <w:szCs w:val="30"/>
        </w:rPr>
        <w:t>15</w:t>
      </w:r>
      <w:r>
        <w:rPr>
          <w:rFonts w:eastAsia="仿宋_GB2312"/>
          <w:color w:val="000000"/>
          <w:sz w:val="30"/>
          <w:szCs w:val="30"/>
        </w:rPr>
        <w:t>个，涉及预算金额</w:t>
      </w:r>
      <w:r>
        <w:rPr>
          <w:rFonts w:hint="eastAsia" w:eastAsia="仿宋_GB2312"/>
          <w:color w:val="000000"/>
          <w:sz w:val="30"/>
          <w:szCs w:val="30"/>
        </w:rPr>
        <w:t>2102.4</w:t>
      </w:r>
      <w:r>
        <w:rPr>
          <w:rFonts w:hint="eastAsia" w:eastAsia="仿宋_GB2312"/>
          <w:sz w:val="30"/>
          <w:szCs w:val="30"/>
        </w:rPr>
        <w:t>万</w:t>
      </w:r>
      <w:r>
        <w:rPr>
          <w:rFonts w:eastAsia="仿宋_GB2312"/>
          <w:color w:val="000000"/>
          <w:sz w:val="30"/>
          <w:szCs w:val="30"/>
        </w:rPr>
        <w:t>元</w:t>
      </w:r>
      <w:r>
        <w:rPr>
          <w:rFonts w:hint="eastAsia" w:eastAsia="仿宋_GB2312"/>
          <w:color w:val="000000"/>
          <w:sz w:val="30"/>
          <w:szCs w:val="30"/>
        </w:rPr>
        <w:t>。</w:t>
      </w:r>
    </w:p>
    <w:p>
      <w:pPr>
        <w:rPr>
          <w:rFonts w:eastAsia="仿宋_GB2312"/>
          <w:color w:val="000000"/>
          <w:sz w:val="30"/>
          <w:szCs w:val="30"/>
        </w:rPr>
      </w:pPr>
      <w:r>
        <w:rPr>
          <w:rFonts w:hint="eastAsia" w:eastAsia="仿宋_GB2312"/>
          <w:color w:val="000000"/>
          <w:sz w:val="30"/>
          <w:szCs w:val="30"/>
        </w:rPr>
        <w:br w:type="page"/>
      </w:r>
    </w:p>
    <w:p>
      <w:pPr>
        <w:pStyle w:val="2"/>
        <w:spacing w:line="600" w:lineRule="exact"/>
        <w:jc w:val="center"/>
        <w:rPr>
          <w:rFonts w:ascii="方正小标宋简体" w:hAnsi="方正小标宋简体" w:eastAsia="方正小标宋简体" w:cs="方正小标宋简体"/>
          <w:b w:val="0"/>
          <w:sz w:val="48"/>
          <w:szCs w:val="48"/>
        </w:rPr>
      </w:pPr>
      <w:bookmarkStart w:id="13" w:name="_Toc78784585"/>
      <w:r>
        <w:rPr>
          <w:rFonts w:hint="eastAsia" w:ascii="方正小标宋简体" w:hAnsi="方正小标宋简体" w:eastAsia="方正小标宋简体" w:cs="方正小标宋简体"/>
          <w:b w:val="0"/>
          <w:sz w:val="48"/>
          <w:szCs w:val="48"/>
        </w:rPr>
        <w:t>第三部分  名词解释</w:t>
      </w:r>
      <w:bookmarkEnd w:id="13"/>
    </w:p>
    <w:p>
      <w:pPr>
        <w:spacing w:line="600" w:lineRule="exact"/>
        <w:ind w:firstLine="600" w:firstLineChars="200"/>
        <w:rPr>
          <w:rFonts w:ascii="仿宋_GB2312" w:eastAsia="仿宋_GB2312"/>
          <w:sz w:val="30"/>
          <w:szCs w:val="30"/>
        </w:rPr>
      </w:pPr>
    </w:p>
    <w:p>
      <w:pPr>
        <w:spacing w:line="580" w:lineRule="exact"/>
        <w:ind w:firstLine="600" w:firstLineChars="200"/>
        <w:jc w:val="both"/>
        <w:rPr>
          <w:rFonts w:eastAsia="仿宋_GB2312"/>
          <w:sz w:val="30"/>
          <w:szCs w:val="30"/>
        </w:rPr>
      </w:pPr>
      <w:r>
        <w:rPr>
          <w:rFonts w:eastAsia="仿宋_GB2312"/>
          <w:sz w:val="30"/>
          <w:szCs w:val="30"/>
        </w:rPr>
        <w:t>1.</w:t>
      </w:r>
      <w:r>
        <w:rPr>
          <w:rFonts w:hint="eastAsia" w:eastAsia="仿宋_GB2312"/>
          <w:sz w:val="30"/>
          <w:szCs w:val="30"/>
        </w:rPr>
        <w:t>部门预算。是指主管预算部门依据相关法律、法规和政策规定及其行使职能需要，组织所属预算单位编制并逐级上报、审核、汇总，经财政部门审核后按程序依法批准的部门综合收支计划。</w:t>
      </w:r>
    </w:p>
    <w:p>
      <w:pPr>
        <w:spacing w:line="580" w:lineRule="exact"/>
        <w:ind w:firstLine="600" w:firstLineChars="200"/>
        <w:jc w:val="both"/>
        <w:rPr>
          <w:rFonts w:eastAsia="仿宋_GB2312"/>
          <w:sz w:val="30"/>
          <w:szCs w:val="30"/>
        </w:rPr>
      </w:pPr>
      <w:r>
        <w:rPr>
          <w:rFonts w:hint="eastAsia" w:eastAsia="仿宋_GB2312"/>
          <w:sz w:val="30"/>
          <w:szCs w:val="30"/>
        </w:rPr>
        <w:t>2.</w:t>
      </w:r>
      <w:r>
        <w:rPr>
          <w:rFonts w:eastAsia="仿宋_GB2312"/>
          <w:sz w:val="30"/>
          <w:szCs w:val="30"/>
        </w:rPr>
        <w:t xml:space="preserve"> 机关运行经费</w:t>
      </w:r>
      <w:r>
        <w:rPr>
          <w:rFonts w:hint="eastAsia" w:eastAsia="仿宋_GB2312"/>
          <w:sz w:val="30"/>
          <w:szCs w:val="30"/>
        </w:rPr>
        <w:t>。</w:t>
      </w:r>
      <w:r>
        <w:rPr>
          <w:rFonts w:eastAsia="仿宋_GB2312"/>
          <w:sz w:val="30"/>
          <w:szCs w:val="30"/>
        </w:rPr>
        <w:t>是指各部门的公用经费，包括办公及印刷费、邮电费、差旅费、会议费、福利费、日常维修费、专用材料及一般设备购置费、办公用房水电费、办公用房取暖费、办公用房物业管理费、公务用车运行维护费以及其他费用</w:t>
      </w:r>
      <w:r>
        <w:rPr>
          <w:rFonts w:hint="eastAsia" w:eastAsia="仿宋_GB2312"/>
          <w:sz w:val="30"/>
          <w:szCs w:val="30"/>
        </w:rPr>
        <w:t>。</w:t>
      </w:r>
    </w:p>
    <w:p>
      <w:pPr>
        <w:rPr>
          <w:rFonts w:eastAsia="楷体_GB2312"/>
          <w:sz w:val="30"/>
          <w:szCs w:val="30"/>
        </w:rPr>
      </w:pPr>
      <w:r>
        <w:rPr>
          <w:rFonts w:hint="eastAsia" w:eastAsia="楷体_GB2312"/>
          <w:sz w:val="30"/>
          <w:szCs w:val="30"/>
        </w:rPr>
        <w:br w:type="page"/>
      </w:r>
    </w:p>
    <w:p>
      <w:pPr>
        <w:pStyle w:val="2"/>
        <w:spacing w:line="600" w:lineRule="exact"/>
        <w:jc w:val="center"/>
        <w:rPr>
          <w:rFonts w:ascii="方正小标宋简体" w:hAnsi="方正小标宋简体" w:eastAsia="方正小标宋简体" w:cs="方正小标宋简体"/>
          <w:b w:val="0"/>
          <w:sz w:val="48"/>
          <w:szCs w:val="48"/>
        </w:rPr>
      </w:pPr>
      <w:r>
        <w:rPr>
          <w:rFonts w:hint="eastAsia" w:ascii="方正小标宋简体" w:hAnsi="方正小标宋简体" w:eastAsia="方正小标宋简体" w:cs="方正小标宋简体"/>
          <w:b w:val="0"/>
          <w:sz w:val="48"/>
          <w:szCs w:val="48"/>
        </w:rPr>
        <w:t>第四部分  2024年部门预算表</w:t>
      </w:r>
    </w:p>
    <w:p>
      <w:pPr>
        <w:spacing w:line="560" w:lineRule="exact"/>
        <w:ind w:left="480" w:leftChars="200"/>
        <w:rPr>
          <w:rFonts w:ascii="楷体_GB2312" w:hAnsi="Times New Roman" w:eastAsia="楷体_GB2312"/>
          <w:b/>
          <w:sz w:val="30"/>
          <w:szCs w:val="30"/>
        </w:rPr>
      </w:pPr>
      <w:r>
        <w:rPr>
          <w:rFonts w:hint="eastAsia" w:ascii="楷体_GB2312" w:hAnsi="Times New Roman" w:eastAsia="楷体_GB2312"/>
          <w:b/>
          <w:sz w:val="30"/>
          <w:szCs w:val="30"/>
        </w:rPr>
        <w:t>一、《部门收支总体情况表》</w:t>
      </w:r>
    </w:p>
    <w:p>
      <w:pPr>
        <w:spacing w:line="560" w:lineRule="exact"/>
        <w:ind w:left="480" w:leftChars="200"/>
        <w:rPr>
          <w:rFonts w:ascii="楷体_GB2312" w:hAnsi="Times New Roman" w:eastAsia="楷体_GB2312"/>
          <w:b/>
          <w:sz w:val="30"/>
          <w:szCs w:val="30"/>
        </w:rPr>
      </w:pPr>
      <w:r>
        <w:rPr>
          <w:rFonts w:hint="eastAsia" w:ascii="楷体_GB2312" w:hAnsi="Times New Roman" w:eastAsia="楷体_GB2312"/>
          <w:b/>
          <w:sz w:val="30"/>
          <w:szCs w:val="30"/>
        </w:rPr>
        <w:t>二、《部门收入总体情况表》</w:t>
      </w:r>
    </w:p>
    <w:p>
      <w:pPr>
        <w:spacing w:line="560" w:lineRule="exact"/>
        <w:ind w:left="480" w:leftChars="200"/>
        <w:rPr>
          <w:rFonts w:ascii="楷体_GB2312" w:hAnsi="Times New Roman" w:eastAsia="楷体_GB2312"/>
          <w:b/>
          <w:sz w:val="30"/>
          <w:szCs w:val="30"/>
        </w:rPr>
      </w:pPr>
      <w:r>
        <w:rPr>
          <w:rFonts w:hint="eastAsia" w:ascii="楷体_GB2312" w:hAnsi="Times New Roman" w:eastAsia="楷体_GB2312"/>
          <w:b/>
          <w:sz w:val="30"/>
          <w:szCs w:val="30"/>
        </w:rPr>
        <w:t>三、《部门支出总体情况表》</w:t>
      </w:r>
    </w:p>
    <w:p>
      <w:pPr>
        <w:spacing w:line="560" w:lineRule="exact"/>
        <w:ind w:left="480" w:leftChars="200"/>
        <w:rPr>
          <w:rFonts w:ascii="楷体_GB2312" w:hAnsi="Times New Roman" w:eastAsia="楷体_GB2312"/>
          <w:b/>
          <w:sz w:val="30"/>
          <w:szCs w:val="30"/>
        </w:rPr>
      </w:pPr>
      <w:r>
        <w:rPr>
          <w:rFonts w:hint="eastAsia" w:ascii="楷体_GB2312" w:hAnsi="Times New Roman" w:eastAsia="楷体_GB2312"/>
          <w:b/>
          <w:sz w:val="30"/>
          <w:szCs w:val="30"/>
        </w:rPr>
        <w:t>四、《财政拨款收支总体情况表》</w:t>
      </w:r>
    </w:p>
    <w:p>
      <w:pPr>
        <w:spacing w:line="560" w:lineRule="exact"/>
        <w:ind w:left="480" w:leftChars="200"/>
        <w:rPr>
          <w:rFonts w:ascii="楷体_GB2312" w:hAnsi="Times New Roman" w:eastAsia="楷体_GB2312"/>
          <w:b/>
          <w:sz w:val="30"/>
          <w:szCs w:val="30"/>
        </w:rPr>
      </w:pPr>
      <w:r>
        <w:rPr>
          <w:rFonts w:hint="eastAsia" w:ascii="楷体_GB2312" w:hAnsi="Times New Roman" w:eastAsia="楷体_GB2312"/>
          <w:b/>
          <w:sz w:val="30"/>
          <w:szCs w:val="30"/>
        </w:rPr>
        <w:t>五、《一般公共预算支出情况表》</w:t>
      </w:r>
    </w:p>
    <w:p>
      <w:pPr>
        <w:spacing w:line="560" w:lineRule="exact"/>
        <w:ind w:left="480" w:leftChars="200"/>
        <w:rPr>
          <w:rFonts w:ascii="楷体_GB2312" w:hAnsi="Times New Roman" w:eastAsia="楷体_GB2312"/>
          <w:b/>
          <w:sz w:val="30"/>
          <w:szCs w:val="30"/>
        </w:rPr>
      </w:pPr>
      <w:r>
        <w:rPr>
          <w:rFonts w:hint="eastAsia" w:ascii="楷体_GB2312" w:hAnsi="Times New Roman" w:eastAsia="楷体_GB2312"/>
          <w:b/>
          <w:sz w:val="30"/>
          <w:szCs w:val="30"/>
        </w:rPr>
        <w:t>六、《一般公共预算基本支出情况表》</w:t>
      </w:r>
    </w:p>
    <w:p>
      <w:pPr>
        <w:spacing w:line="560" w:lineRule="exact"/>
        <w:ind w:left="480" w:leftChars="200"/>
        <w:rPr>
          <w:rFonts w:ascii="楷体_GB2312" w:hAnsi="Times New Roman" w:eastAsia="楷体_GB2312"/>
          <w:b/>
          <w:sz w:val="30"/>
          <w:szCs w:val="30"/>
        </w:rPr>
      </w:pPr>
      <w:r>
        <w:rPr>
          <w:rFonts w:hint="eastAsia" w:ascii="楷体_GB2312" w:hAnsi="Times New Roman" w:eastAsia="楷体_GB2312"/>
          <w:b/>
          <w:sz w:val="30"/>
          <w:szCs w:val="30"/>
        </w:rPr>
        <w:t>七、《一般公共预算“三公”经费支出情况表》</w:t>
      </w:r>
    </w:p>
    <w:p>
      <w:pPr>
        <w:spacing w:line="560" w:lineRule="exact"/>
        <w:ind w:left="480" w:leftChars="200"/>
        <w:rPr>
          <w:rFonts w:ascii="楷体_GB2312" w:hAnsi="Times New Roman" w:eastAsia="楷体_GB2312"/>
          <w:b/>
          <w:sz w:val="30"/>
          <w:szCs w:val="30"/>
        </w:rPr>
      </w:pPr>
      <w:r>
        <w:rPr>
          <w:rFonts w:hint="eastAsia" w:ascii="楷体_GB2312" w:hAnsi="Times New Roman" w:eastAsia="楷体_GB2312"/>
          <w:b/>
          <w:sz w:val="30"/>
          <w:szCs w:val="30"/>
        </w:rPr>
        <w:t>八、《政府性基金预算支出情况表》</w:t>
      </w:r>
    </w:p>
    <w:p>
      <w:pPr>
        <w:spacing w:line="560" w:lineRule="exact"/>
        <w:ind w:left="480" w:leftChars="200"/>
        <w:rPr>
          <w:rFonts w:ascii="楷体_GB2312" w:hAnsi="Times New Roman" w:eastAsia="楷体_GB2312"/>
          <w:b/>
          <w:sz w:val="30"/>
          <w:szCs w:val="30"/>
        </w:rPr>
      </w:pPr>
      <w:r>
        <w:rPr>
          <w:rFonts w:hint="eastAsia" w:ascii="楷体_GB2312" w:hAnsi="Times New Roman" w:eastAsia="楷体_GB2312"/>
          <w:b/>
          <w:sz w:val="30"/>
          <w:szCs w:val="30"/>
        </w:rPr>
        <w:t>九、《国有资本经营预算支出情况表》</w:t>
      </w:r>
    </w:p>
    <w:p>
      <w:pPr>
        <w:spacing w:line="560" w:lineRule="exact"/>
        <w:ind w:left="480" w:leftChars="200"/>
        <w:rPr>
          <w:rFonts w:ascii="楷体_GB2312" w:hAnsi="Times New Roman" w:eastAsia="楷体_GB2312"/>
          <w:b/>
          <w:sz w:val="30"/>
          <w:szCs w:val="30"/>
        </w:rPr>
      </w:pPr>
      <w:r>
        <w:rPr>
          <w:rFonts w:hint="eastAsia" w:ascii="楷体_GB2312" w:hAnsi="Times New Roman" w:eastAsia="楷体_GB2312"/>
          <w:b/>
          <w:sz w:val="30"/>
          <w:szCs w:val="30"/>
        </w:rPr>
        <w:t>十、《项目支出表》</w:t>
      </w:r>
    </w:p>
    <w:p>
      <w:pPr>
        <w:spacing w:line="560" w:lineRule="exact"/>
        <w:ind w:left="480" w:leftChars="200"/>
        <w:rPr>
          <w:rFonts w:ascii="楷体_GB2312" w:hAnsi="Times New Roman" w:eastAsia="楷体_GB2312"/>
          <w:b/>
          <w:sz w:val="30"/>
          <w:szCs w:val="30"/>
        </w:rPr>
      </w:pPr>
      <w:r>
        <w:rPr>
          <w:rFonts w:hint="eastAsia" w:ascii="楷体_GB2312" w:hAnsi="Times New Roman" w:eastAsia="楷体_GB2312"/>
          <w:b/>
          <w:sz w:val="30"/>
          <w:szCs w:val="30"/>
        </w:rPr>
        <w:t>十一、关于空表的说明</w:t>
      </w:r>
      <w:r>
        <w:rPr>
          <w:rFonts w:hint="eastAsia" w:ascii="楷体_GB2312" w:hAnsi="Times New Roman" w:eastAsia="楷体_GB2312"/>
          <w:b/>
          <w:sz w:val="30"/>
          <w:szCs w:val="30"/>
        </w:rPr>
        <w:tab/>
      </w:r>
    </w:p>
    <w:p>
      <w:pPr>
        <w:spacing w:line="560" w:lineRule="exact"/>
        <w:ind w:firstLine="600" w:firstLineChars="200"/>
        <w:rPr>
          <w:rFonts w:eastAsia="楷体_GB2312"/>
          <w:sz w:val="30"/>
          <w:szCs w:val="30"/>
        </w:rPr>
      </w:pPr>
      <w:r>
        <w:rPr>
          <w:rFonts w:hint="eastAsia" w:eastAsia="楷体_GB2312"/>
          <w:sz w:val="30"/>
          <w:szCs w:val="30"/>
        </w:rPr>
        <w:t>1.本部门2024年一般公共预算“三公”经费支出情况表为空表。</w:t>
      </w:r>
    </w:p>
    <w:p>
      <w:pPr>
        <w:spacing w:line="560" w:lineRule="exact"/>
        <w:ind w:firstLine="600" w:firstLineChars="200"/>
        <w:rPr>
          <w:rFonts w:eastAsia="楷体_GB2312"/>
          <w:sz w:val="30"/>
          <w:szCs w:val="30"/>
        </w:rPr>
      </w:pPr>
      <w:r>
        <w:rPr>
          <w:rFonts w:hint="eastAsia" w:eastAsia="楷体_GB2312"/>
          <w:sz w:val="30"/>
          <w:szCs w:val="30"/>
        </w:rPr>
        <w:t>2.本部门2024年国有资本经营预算支出情况表为空表。</w:t>
      </w:r>
    </w:p>
    <w:sectPr>
      <w:footerReference r:id="rId8" w:type="default"/>
      <w:pgSz w:w="11907" w:h="16840"/>
      <w:pgMar w:top="2098" w:right="1474" w:bottom="1304" w:left="1588" w:header="765" w:footer="765" w:gutter="0"/>
      <w:pgNumType w:fmt="numberInDash" w:start="1"/>
      <w:cols w:space="720" w:num="1"/>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Serif">
    <w:altName w:val="Times New Roman"/>
    <w:panose1 w:val="00000000000000000000"/>
    <w:charset w:val="00"/>
    <w:family w:val="roman"/>
    <w:pitch w:val="default"/>
    <w:sig w:usb0="00000000" w:usb1="00000000" w:usb2="00000000" w:usb3="00000000" w:csb0="00000001" w:csb1="00000000"/>
  </w:font>
  <w:font w:name="Cambria">
    <w:panose1 w:val="02040503050406030204"/>
    <w:charset w:val="00"/>
    <w:family w:val="roman"/>
    <w:pitch w:val="default"/>
    <w:sig w:usb0="E00002FF" w:usb1="400004FF" w:usb2="00000000" w:usb3="00000000" w:csb0="2000019F" w:csb1="00000000"/>
  </w:font>
  <w:font w:name="方正小标宋简体">
    <w:altName w:val="微软雅黑"/>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Pr>
    </w:pPr>
    <w:r>
      <w:fldChar w:fldCharType="begin"/>
    </w:r>
    <w:r>
      <w:rPr>
        <w:rStyle w:val="11"/>
      </w:rPr>
      <w:instrText xml:space="preserve">PAGE  </w:instrText>
    </w:r>
    <w:r>
      <w:fldChar w:fldCharType="end"/>
    </w:r>
  </w:p>
  <w:p>
    <w:pPr>
      <w:pStyle w:val="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w:t>
    </w:r>
    <w:r>
      <w:t xml:space="preserve"> 10 -</w:t>
    </w:r>
    <w:r>
      <w:fldChar w:fldCharType="end"/>
    </w:r>
  </w:p>
  <w:p>
    <w:pPr>
      <w:pStyle w:val="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924A1E"/>
    <w:multiLevelType w:val="multilevel"/>
    <w:tmpl w:val="2B924A1E"/>
    <w:lvl w:ilvl="0" w:tentative="0">
      <w:start w:val="2"/>
      <w:numFmt w:val="japaneseCounting"/>
      <w:lvlText w:val="（%1）"/>
      <w:lvlJc w:val="left"/>
      <w:pPr>
        <w:ind w:left="1682" w:hanging="1080"/>
      </w:pPr>
      <w:rPr>
        <w:rFonts w:hint="default" w:cs="仿宋_GB2312"/>
        <w:b/>
      </w:rPr>
    </w:lvl>
    <w:lvl w:ilvl="1" w:tentative="0">
      <w:start w:val="1"/>
      <w:numFmt w:val="lowerLetter"/>
      <w:lvlText w:val="%2)"/>
      <w:lvlJc w:val="left"/>
      <w:pPr>
        <w:ind w:left="1442" w:hanging="420"/>
      </w:pPr>
    </w:lvl>
    <w:lvl w:ilvl="2" w:tentative="0">
      <w:start w:val="1"/>
      <w:numFmt w:val="lowerRoman"/>
      <w:lvlText w:val="%3."/>
      <w:lvlJc w:val="right"/>
      <w:pPr>
        <w:ind w:left="1862" w:hanging="420"/>
      </w:pPr>
    </w:lvl>
    <w:lvl w:ilvl="3" w:tentative="0">
      <w:start w:val="1"/>
      <w:numFmt w:val="decimal"/>
      <w:lvlText w:val="%4."/>
      <w:lvlJc w:val="left"/>
      <w:pPr>
        <w:ind w:left="2282" w:hanging="420"/>
      </w:pPr>
    </w:lvl>
    <w:lvl w:ilvl="4" w:tentative="0">
      <w:start w:val="1"/>
      <w:numFmt w:val="lowerLetter"/>
      <w:lvlText w:val="%5)"/>
      <w:lvlJc w:val="left"/>
      <w:pPr>
        <w:ind w:left="2702" w:hanging="420"/>
      </w:pPr>
    </w:lvl>
    <w:lvl w:ilvl="5" w:tentative="0">
      <w:start w:val="1"/>
      <w:numFmt w:val="lowerRoman"/>
      <w:lvlText w:val="%6."/>
      <w:lvlJc w:val="right"/>
      <w:pPr>
        <w:ind w:left="3122" w:hanging="420"/>
      </w:pPr>
    </w:lvl>
    <w:lvl w:ilvl="6" w:tentative="0">
      <w:start w:val="1"/>
      <w:numFmt w:val="decimal"/>
      <w:lvlText w:val="%7."/>
      <w:lvlJc w:val="left"/>
      <w:pPr>
        <w:ind w:left="3542" w:hanging="420"/>
      </w:pPr>
    </w:lvl>
    <w:lvl w:ilvl="7" w:tentative="0">
      <w:start w:val="1"/>
      <w:numFmt w:val="lowerLetter"/>
      <w:lvlText w:val="%8)"/>
      <w:lvlJc w:val="left"/>
      <w:pPr>
        <w:ind w:left="3962" w:hanging="420"/>
      </w:pPr>
    </w:lvl>
    <w:lvl w:ilvl="8" w:tentative="0">
      <w:start w:val="1"/>
      <w:numFmt w:val="lowerRoman"/>
      <w:lvlText w:val="%9."/>
      <w:lvlJc w:val="right"/>
      <w:pPr>
        <w:ind w:left="438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2NWI1Yjc3YWExOGUxYWFiYTIwNGM3ZjM1MGEyNTcifQ=="/>
  </w:docVars>
  <w:rsids>
    <w:rsidRoot w:val="00937D77"/>
    <w:rsid w:val="0001204D"/>
    <w:rsid w:val="00014B7E"/>
    <w:rsid w:val="00020DAE"/>
    <w:rsid w:val="00025DCF"/>
    <w:rsid w:val="00026B49"/>
    <w:rsid w:val="000279BC"/>
    <w:rsid w:val="00035889"/>
    <w:rsid w:val="0003736F"/>
    <w:rsid w:val="00040A70"/>
    <w:rsid w:val="000546FB"/>
    <w:rsid w:val="00055156"/>
    <w:rsid w:val="000561F0"/>
    <w:rsid w:val="00066DA5"/>
    <w:rsid w:val="00081133"/>
    <w:rsid w:val="00082771"/>
    <w:rsid w:val="00093F1A"/>
    <w:rsid w:val="00097C4D"/>
    <w:rsid w:val="000A4C45"/>
    <w:rsid w:val="000A6A5A"/>
    <w:rsid w:val="000B1B04"/>
    <w:rsid w:val="000B5758"/>
    <w:rsid w:val="000C211F"/>
    <w:rsid w:val="000C3FFB"/>
    <w:rsid w:val="000C5349"/>
    <w:rsid w:val="000C704F"/>
    <w:rsid w:val="000D1BEF"/>
    <w:rsid w:val="000E221E"/>
    <w:rsid w:val="000E5A14"/>
    <w:rsid w:val="000F2DDD"/>
    <w:rsid w:val="00103D12"/>
    <w:rsid w:val="001044EF"/>
    <w:rsid w:val="00107793"/>
    <w:rsid w:val="00107F74"/>
    <w:rsid w:val="00141FB3"/>
    <w:rsid w:val="00143640"/>
    <w:rsid w:val="00146622"/>
    <w:rsid w:val="00151DB8"/>
    <w:rsid w:val="00151E56"/>
    <w:rsid w:val="00154D50"/>
    <w:rsid w:val="001574DB"/>
    <w:rsid w:val="001616F8"/>
    <w:rsid w:val="001639E6"/>
    <w:rsid w:val="0016548E"/>
    <w:rsid w:val="00167781"/>
    <w:rsid w:val="0017420B"/>
    <w:rsid w:val="001743A6"/>
    <w:rsid w:val="0019552B"/>
    <w:rsid w:val="001A1316"/>
    <w:rsid w:val="001A58F7"/>
    <w:rsid w:val="001B47FB"/>
    <w:rsid w:val="001C525C"/>
    <w:rsid w:val="001E4814"/>
    <w:rsid w:val="001F43D8"/>
    <w:rsid w:val="001F69BB"/>
    <w:rsid w:val="0020344E"/>
    <w:rsid w:val="00217977"/>
    <w:rsid w:val="00222775"/>
    <w:rsid w:val="00223D56"/>
    <w:rsid w:val="00225E9E"/>
    <w:rsid w:val="002319C9"/>
    <w:rsid w:val="00235DDA"/>
    <w:rsid w:val="002456BF"/>
    <w:rsid w:val="00252DD7"/>
    <w:rsid w:val="002568D5"/>
    <w:rsid w:val="0026664B"/>
    <w:rsid w:val="00290082"/>
    <w:rsid w:val="00290EAC"/>
    <w:rsid w:val="00293ACA"/>
    <w:rsid w:val="002A1782"/>
    <w:rsid w:val="002A23DC"/>
    <w:rsid w:val="002A3DBF"/>
    <w:rsid w:val="002D67AE"/>
    <w:rsid w:val="002D715E"/>
    <w:rsid w:val="002E3C02"/>
    <w:rsid w:val="002F0601"/>
    <w:rsid w:val="002F0F40"/>
    <w:rsid w:val="002F0F49"/>
    <w:rsid w:val="002F2DE2"/>
    <w:rsid w:val="00304097"/>
    <w:rsid w:val="003147A8"/>
    <w:rsid w:val="0032641E"/>
    <w:rsid w:val="003407F4"/>
    <w:rsid w:val="00343F3E"/>
    <w:rsid w:val="0035053A"/>
    <w:rsid w:val="0035182A"/>
    <w:rsid w:val="003609DB"/>
    <w:rsid w:val="00361453"/>
    <w:rsid w:val="00364050"/>
    <w:rsid w:val="00364294"/>
    <w:rsid w:val="003734E1"/>
    <w:rsid w:val="00381526"/>
    <w:rsid w:val="00386D08"/>
    <w:rsid w:val="00391275"/>
    <w:rsid w:val="003929CE"/>
    <w:rsid w:val="003A5370"/>
    <w:rsid w:val="003A7D0E"/>
    <w:rsid w:val="003B24BB"/>
    <w:rsid w:val="003B3A66"/>
    <w:rsid w:val="003C1B4D"/>
    <w:rsid w:val="003C2CCF"/>
    <w:rsid w:val="003D48A4"/>
    <w:rsid w:val="003D647A"/>
    <w:rsid w:val="003E3EA7"/>
    <w:rsid w:val="003F4CDB"/>
    <w:rsid w:val="00404E18"/>
    <w:rsid w:val="00406A09"/>
    <w:rsid w:val="004139C1"/>
    <w:rsid w:val="004178F1"/>
    <w:rsid w:val="00421C5C"/>
    <w:rsid w:val="00424A5A"/>
    <w:rsid w:val="00452C1F"/>
    <w:rsid w:val="004645C1"/>
    <w:rsid w:val="004654FD"/>
    <w:rsid w:val="004660E2"/>
    <w:rsid w:val="0046727B"/>
    <w:rsid w:val="0047004A"/>
    <w:rsid w:val="00472621"/>
    <w:rsid w:val="00474C09"/>
    <w:rsid w:val="0048352E"/>
    <w:rsid w:val="004A5DF5"/>
    <w:rsid w:val="004A6EE3"/>
    <w:rsid w:val="004B0888"/>
    <w:rsid w:val="004C0EED"/>
    <w:rsid w:val="004C1F92"/>
    <w:rsid w:val="004C3B81"/>
    <w:rsid w:val="004D2A21"/>
    <w:rsid w:val="004E5901"/>
    <w:rsid w:val="004E7F96"/>
    <w:rsid w:val="004F1D8F"/>
    <w:rsid w:val="004F304B"/>
    <w:rsid w:val="00507FC2"/>
    <w:rsid w:val="00513E0C"/>
    <w:rsid w:val="00531F24"/>
    <w:rsid w:val="00534FC8"/>
    <w:rsid w:val="005442FD"/>
    <w:rsid w:val="00545CD1"/>
    <w:rsid w:val="00547CCA"/>
    <w:rsid w:val="0055334A"/>
    <w:rsid w:val="0056218D"/>
    <w:rsid w:val="00563DE0"/>
    <w:rsid w:val="00566B36"/>
    <w:rsid w:val="005717FD"/>
    <w:rsid w:val="00577762"/>
    <w:rsid w:val="00585D27"/>
    <w:rsid w:val="0058731A"/>
    <w:rsid w:val="00587691"/>
    <w:rsid w:val="0059010F"/>
    <w:rsid w:val="0059248B"/>
    <w:rsid w:val="005B0F7B"/>
    <w:rsid w:val="005B3956"/>
    <w:rsid w:val="005B5E4D"/>
    <w:rsid w:val="005C0A1F"/>
    <w:rsid w:val="005C3C59"/>
    <w:rsid w:val="005D0C85"/>
    <w:rsid w:val="005D5F3F"/>
    <w:rsid w:val="005E595A"/>
    <w:rsid w:val="005E5D2D"/>
    <w:rsid w:val="005E642E"/>
    <w:rsid w:val="005F3D28"/>
    <w:rsid w:val="005F52AE"/>
    <w:rsid w:val="005F6E16"/>
    <w:rsid w:val="00602A30"/>
    <w:rsid w:val="006054BF"/>
    <w:rsid w:val="00617301"/>
    <w:rsid w:val="00646289"/>
    <w:rsid w:val="00646C58"/>
    <w:rsid w:val="0065320E"/>
    <w:rsid w:val="00664752"/>
    <w:rsid w:val="00673ABE"/>
    <w:rsid w:val="006777CE"/>
    <w:rsid w:val="006934E1"/>
    <w:rsid w:val="00694200"/>
    <w:rsid w:val="0069616E"/>
    <w:rsid w:val="006A0604"/>
    <w:rsid w:val="006A6421"/>
    <w:rsid w:val="006A7042"/>
    <w:rsid w:val="006A7123"/>
    <w:rsid w:val="006B0F4B"/>
    <w:rsid w:val="006D456D"/>
    <w:rsid w:val="006D7313"/>
    <w:rsid w:val="006E5C14"/>
    <w:rsid w:val="006F408B"/>
    <w:rsid w:val="00703777"/>
    <w:rsid w:val="00716804"/>
    <w:rsid w:val="00737A20"/>
    <w:rsid w:val="0074381E"/>
    <w:rsid w:val="00754417"/>
    <w:rsid w:val="00795DC2"/>
    <w:rsid w:val="007B750A"/>
    <w:rsid w:val="007C0CD1"/>
    <w:rsid w:val="007C220B"/>
    <w:rsid w:val="007C257B"/>
    <w:rsid w:val="007C27C2"/>
    <w:rsid w:val="007C4FF4"/>
    <w:rsid w:val="007E0D5B"/>
    <w:rsid w:val="007E2276"/>
    <w:rsid w:val="007F218B"/>
    <w:rsid w:val="00810D0C"/>
    <w:rsid w:val="00824025"/>
    <w:rsid w:val="008277F5"/>
    <w:rsid w:val="0083475B"/>
    <w:rsid w:val="008370F2"/>
    <w:rsid w:val="00841058"/>
    <w:rsid w:val="00844953"/>
    <w:rsid w:val="00846C2E"/>
    <w:rsid w:val="00847B3C"/>
    <w:rsid w:val="00851ECC"/>
    <w:rsid w:val="00861D45"/>
    <w:rsid w:val="00866211"/>
    <w:rsid w:val="00890F33"/>
    <w:rsid w:val="008A2192"/>
    <w:rsid w:val="008A584F"/>
    <w:rsid w:val="008B0BE1"/>
    <w:rsid w:val="008C529C"/>
    <w:rsid w:val="008C6A37"/>
    <w:rsid w:val="008D0B65"/>
    <w:rsid w:val="008D7A7F"/>
    <w:rsid w:val="008E4B67"/>
    <w:rsid w:val="008F0A65"/>
    <w:rsid w:val="008F7F2F"/>
    <w:rsid w:val="0090543A"/>
    <w:rsid w:val="00912DED"/>
    <w:rsid w:val="009224E2"/>
    <w:rsid w:val="00922C71"/>
    <w:rsid w:val="00931ADF"/>
    <w:rsid w:val="009339F5"/>
    <w:rsid w:val="00933DD8"/>
    <w:rsid w:val="00934F3E"/>
    <w:rsid w:val="00937D77"/>
    <w:rsid w:val="00946BC0"/>
    <w:rsid w:val="0095553A"/>
    <w:rsid w:val="00962587"/>
    <w:rsid w:val="009822BE"/>
    <w:rsid w:val="00990C9A"/>
    <w:rsid w:val="009970B7"/>
    <w:rsid w:val="009A08A7"/>
    <w:rsid w:val="009A3307"/>
    <w:rsid w:val="009A41AC"/>
    <w:rsid w:val="009A45FD"/>
    <w:rsid w:val="009A47C1"/>
    <w:rsid w:val="009B0D59"/>
    <w:rsid w:val="009B0FCC"/>
    <w:rsid w:val="009C3FA3"/>
    <w:rsid w:val="009C4227"/>
    <w:rsid w:val="009C5EC4"/>
    <w:rsid w:val="009D1FD1"/>
    <w:rsid w:val="009D2134"/>
    <w:rsid w:val="009E0550"/>
    <w:rsid w:val="009E6A2C"/>
    <w:rsid w:val="009F0927"/>
    <w:rsid w:val="00A01A53"/>
    <w:rsid w:val="00A020B8"/>
    <w:rsid w:val="00A02970"/>
    <w:rsid w:val="00A1342C"/>
    <w:rsid w:val="00A15BB3"/>
    <w:rsid w:val="00A169EE"/>
    <w:rsid w:val="00A25266"/>
    <w:rsid w:val="00A325D0"/>
    <w:rsid w:val="00A37FB3"/>
    <w:rsid w:val="00A410A3"/>
    <w:rsid w:val="00A43941"/>
    <w:rsid w:val="00A47777"/>
    <w:rsid w:val="00A50357"/>
    <w:rsid w:val="00A52A4D"/>
    <w:rsid w:val="00A54C43"/>
    <w:rsid w:val="00A54C55"/>
    <w:rsid w:val="00A62D36"/>
    <w:rsid w:val="00A64852"/>
    <w:rsid w:val="00A74096"/>
    <w:rsid w:val="00A8081F"/>
    <w:rsid w:val="00A8708A"/>
    <w:rsid w:val="00A918A4"/>
    <w:rsid w:val="00A91C28"/>
    <w:rsid w:val="00A96D04"/>
    <w:rsid w:val="00AB093E"/>
    <w:rsid w:val="00AB791A"/>
    <w:rsid w:val="00AC0500"/>
    <w:rsid w:val="00AC3444"/>
    <w:rsid w:val="00AC4DF4"/>
    <w:rsid w:val="00AD51D9"/>
    <w:rsid w:val="00AD6740"/>
    <w:rsid w:val="00AD6772"/>
    <w:rsid w:val="00AE14F7"/>
    <w:rsid w:val="00AE3DA6"/>
    <w:rsid w:val="00AF0A58"/>
    <w:rsid w:val="00AF121D"/>
    <w:rsid w:val="00AF38CA"/>
    <w:rsid w:val="00B0320D"/>
    <w:rsid w:val="00B03433"/>
    <w:rsid w:val="00B100CB"/>
    <w:rsid w:val="00B1463F"/>
    <w:rsid w:val="00B25010"/>
    <w:rsid w:val="00B370F4"/>
    <w:rsid w:val="00B4348E"/>
    <w:rsid w:val="00B45D35"/>
    <w:rsid w:val="00B47C04"/>
    <w:rsid w:val="00B53EC1"/>
    <w:rsid w:val="00B66FA2"/>
    <w:rsid w:val="00B757C2"/>
    <w:rsid w:val="00B90553"/>
    <w:rsid w:val="00B91BBF"/>
    <w:rsid w:val="00B93818"/>
    <w:rsid w:val="00BA2588"/>
    <w:rsid w:val="00BA3C6F"/>
    <w:rsid w:val="00BA407A"/>
    <w:rsid w:val="00BB359F"/>
    <w:rsid w:val="00BB423E"/>
    <w:rsid w:val="00BC0DF6"/>
    <w:rsid w:val="00BC3841"/>
    <w:rsid w:val="00BC5E5F"/>
    <w:rsid w:val="00BC76FF"/>
    <w:rsid w:val="00BF3615"/>
    <w:rsid w:val="00BF54DA"/>
    <w:rsid w:val="00BF7933"/>
    <w:rsid w:val="00C1455B"/>
    <w:rsid w:val="00C148BB"/>
    <w:rsid w:val="00C149C4"/>
    <w:rsid w:val="00C17C17"/>
    <w:rsid w:val="00C24562"/>
    <w:rsid w:val="00C378B1"/>
    <w:rsid w:val="00C435D4"/>
    <w:rsid w:val="00C50520"/>
    <w:rsid w:val="00C63085"/>
    <w:rsid w:val="00C64EC0"/>
    <w:rsid w:val="00C70269"/>
    <w:rsid w:val="00C73CFA"/>
    <w:rsid w:val="00C77359"/>
    <w:rsid w:val="00C8411D"/>
    <w:rsid w:val="00C84F06"/>
    <w:rsid w:val="00C96C5A"/>
    <w:rsid w:val="00CA1B19"/>
    <w:rsid w:val="00CA68E2"/>
    <w:rsid w:val="00CB0036"/>
    <w:rsid w:val="00CB119F"/>
    <w:rsid w:val="00CC066C"/>
    <w:rsid w:val="00CE05B1"/>
    <w:rsid w:val="00CE5A0A"/>
    <w:rsid w:val="00CE6EAE"/>
    <w:rsid w:val="00CE7964"/>
    <w:rsid w:val="00CE7AC9"/>
    <w:rsid w:val="00CE7B3E"/>
    <w:rsid w:val="00CF3C5E"/>
    <w:rsid w:val="00D039E0"/>
    <w:rsid w:val="00D055B0"/>
    <w:rsid w:val="00D07F2D"/>
    <w:rsid w:val="00D13688"/>
    <w:rsid w:val="00D14C1F"/>
    <w:rsid w:val="00D15FA8"/>
    <w:rsid w:val="00D23D4D"/>
    <w:rsid w:val="00D27938"/>
    <w:rsid w:val="00D27B83"/>
    <w:rsid w:val="00D51CC5"/>
    <w:rsid w:val="00D55851"/>
    <w:rsid w:val="00D574FF"/>
    <w:rsid w:val="00D608C7"/>
    <w:rsid w:val="00D66D5C"/>
    <w:rsid w:val="00D8056F"/>
    <w:rsid w:val="00D877BB"/>
    <w:rsid w:val="00D91D08"/>
    <w:rsid w:val="00D92B61"/>
    <w:rsid w:val="00DB28E7"/>
    <w:rsid w:val="00DB3194"/>
    <w:rsid w:val="00DC08C9"/>
    <w:rsid w:val="00DD6E45"/>
    <w:rsid w:val="00DE477D"/>
    <w:rsid w:val="00DE5D74"/>
    <w:rsid w:val="00DE7CDF"/>
    <w:rsid w:val="00DF0B81"/>
    <w:rsid w:val="00DF2103"/>
    <w:rsid w:val="00DF4EF1"/>
    <w:rsid w:val="00DF6570"/>
    <w:rsid w:val="00E01833"/>
    <w:rsid w:val="00E27103"/>
    <w:rsid w:val="00E37F65"/>
    <w:rsid w:val="00E51564"/>
    <w:rsid w:val="00E5335B"/>
    <w:rsid w:val="00E62551"/>
    <w:rsid w:val="00E65451"/>
    <w:rsid w:val="00E65BBC"/>
    <w:rsid w:val="00E74166"/>
    <w:rsid w:val="00E75826"/>
    <w:rsid w:val="00E804B9"/>
    <w:rsid w:val="00E8177A"/>
    <w:rsid w:val="00E839D5"/>
    <w:rsid w:val="00E872DD"/>
    <w:rsid w:val="00E90B38"/>
    <w:rsid w:val="00E90C89"/>
    <w:rsid w:val="00E95C79"/>
    <w:rsid w:val="00EA4975"/>
    <w:rsid w:val="00EA6A5C"/>
    <w:rsid w:val="00EB06BE"/>
    <w:rsid w:val="00EB6AAF"/>
    <w:rsid w:val="00EE59CA"/>
    <w:rsid w:val="00F11449"/>
    <w:rsid w:val="00F211C0"/>
    <w:rsid w:val="00F224AE"/>
    <w:rsid w:val="00F5220F"/>
    <w:rsid w:val="00F54E60"/>
    <w:rsid w:val="00F5688C"/>
    <w:rsid w:val="00F619E7"/>
    <w:rsid w:val="00F67141"/>
    <w:rsid w:val="00F720C0"/>
    <w:rsid w:val="00F729CE"/>
    <w:rsid w:val="00F81314"/>
    <w:rsid w:val="00F86B2D"/>
    <w:rsid w:val="00F86C27"/>
    <w:rsid w:val="00F86DF0"/>
    <w:rsid w:val="00F943D8"/>
    <w:rsid w:val="00FB4035"/>
    <w:rsid w:val="00FC57FA"/>
    <w:rsid w:val="00FE3D89"/>
    <w:rsid w:val="00FE7BA7"/>
    <w:rsid w:val="00FF1C3D"/>
    <w:rsid w:val="184252C6"/>
    <w:rsid w:val="1D681DEC"/>
    <w:rsid w:val="1EF05BEB"/>
    <w:rsid w:val="25956CBE"/>
    <w:rsid w:val="268758BC"/>
    <w:rsid w:val="27EC0F76"/>
    <w:rsid w:val="2AEC3DF6"/>
    <w:rsid w:val="2EDA7DF5"/>
    <w:rsid w:val="354E1AF8"/>
    <w:rsid w:val="3557428F"/>
    <w:rsid w:val="3D407E3C"/>
    <w:rsid w:val="3FCB28EB"/>
    <w:rsid w:val="40956B0D"/>
    <w:rsid w:val="42787390"/>
    <w:rsid w:val="468F3AD1"/>
    <w:rsid w:val="473449B7"/>
    <w:rsid w:val="4E1E02D7"/>
    <w:rsid w:val="4EBA5FAA"/>
    <w:rsid w:val="4F204931"/>
    <w:rsid w:val="654B12BC"/>
    <w:rsid w:val="693A5856"/>
    <w:rsid w:val="6A2D5246"/>
    <w:rsid w:val="73A82400"/>
    <w:rsid w:val="748F20DD"/>
    <w:rsid w:val="74ED10F1"/>
    <w:rsid w:val="77EFDD89"/>
    <w:rsid w:val="7BF86A8D"/>
    <w:rsid w:val="7ECE503D"/>
    <w:rsid w:val="DEFFAB64"/>
    <w:rsid w:val="F51C35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MS Serif" w:hAnsi="MS Serif"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djustRightInd w:val="0"/>
      <w:spacing w:line="360" w:lineRule="atLeast"/>
      <w:textAlignment w:val="baseline"/>
    </w:pPr>
    <w:rPr>
      <w:rFonts w:ascii="MS Serif" w:hAnsi="MS Serif" w:eastAsia="宋体" w:cs="Times New Roman"/>
      <w:sz w:val="24"/>
      <w:lang w:val="en-US" w:eastAsia="zh-CN" w:bidi="ar-SA"/>
    </w:rPr>
  </w:style>
  <w:style w:type="paragraph" w:styleId="2">
    <w:name w:val="heading 1"/>
    <w:basedOn w:val="1"/>
    <w:next w:val="1"/>
    <w:link w:val="12"/>
    <w:qFormat/>
    <w:uiPriority w:val="9"/>
    <w:pPr>
      <w:keepNext/>
      <w:keepLines/>
      <w:spacing w:before="340" w:after="330" w:line="578" w:lineRule="atLeast"/>
      <w:outlineLvl w:val="0"/>
    </w:pPr>
    <w:rPr>
      <w:rFonts w:ascii="Times New Roman" w:hAnsi="Times New Roman"/>
      <w:b/>
      <w:bCs/>
      <w:kern w:val="44"/>
      <w:sz w:val="44"/>
      <w:szCs w:val="44"/>
    </w:rPr>
  </w:style>
  <w:style w:type="paragraph" w:styleId="3">
    <w:name w:val="heading 2"/>
    <w:basedOn w:val="1"/>
    <w:next w:val="1"/>
    <w:link w:val="13"/>
    <w:qFormat/>
    <w:uiPriority w:val="9"/>
    <w:pPr>
      <w:keepNext/>
      <w:keepLines/>
      <w:spacing w:before="260" w:after="260" w:line="416" w:lineRule="atLeast"/>
      <w:outlineLvl w:val="1"/>
    </w:pPr>
    <w:rPr>
      <w:rFonts w:ascii="Cambria" w:hAnsi="Cambria"/>
      <w:b/>
      <w:bCs/>
      <w:sz w:val="32"/>
      <w:szCs w:val="32"/>
    </w:rPr>
  </w:style>
  <w:style w:type="character" w:default="1" w:styleId="10">
    <w:name w:val="Default Paragraph Font"/>
    <w:semiHidden/>
    <w:unhideWhenUsed/>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4">
    <w:name w:val="Document Map"/>
    <w:basedOn w:val="1"/>
    <w:autoRedefine/>
    <w:semiHidden/>
    <w:qFormat/>
    <w:uiPriority w:val="0"/>
    <w:pPr>
      <w:shd w:val="clear" w:color="auto" w:fill="000080"/>
    </w:pPr>
  </w:style>
  <w:style w:type="paragraph" w:styleId="5">
    <w:name w:val="Balloon Text"/>
    <w:basedOn w:val="1"/>
    <w:link w:val="14"/>
    <w:uiPriority w:val="0"/>
    <w:pPr>
      <w:spacing w:line="240" w:lineRule="auto"/>
    </w:pPr>
    <w:rPr>
      <w:sz w:val="18"/>
      <w:szCs w:val="18"/>
    </w:rPr>
  </w:style>
  <w:style w:type="paragraph" w:styleId="6">
    <w:name w:val="footer"/>
    <w:basedOn w:val="1"/>
    <w:link w:val="15"/>
    <w:uiPriority w:val="99"/>
    <w:pPr>
      <w:tabs>
        <w:tab w:val="center" w:pos="4153"/>
        <w:tab w:val="right" w:pos="8306"/>
      </w:tabs>
      <w:snapToGrid w:val="0"/>
      <w:spacing w:line="240" w:lineRule="atLeast"/>
    </w:pPr>
    <w:rPr>
      <w:sz w:val="18"/>
      <w:szCs w:val="18"/>
    </w:rPr>
  </w:style>
  <w:style w:type="paragraph" w:styleId="7">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8">
    <w:name w:val="toc 2"/>
    <w:basedOn w:val="1"/>
    <w:next w:val="1"/>
    <w:autoRedefine/>
    <w:unhideWhenUsed/>
    <w:qFormat/>
    <w:uiPriority w:val="39"/>
    <w:pPr>
      <w:widowControl/>
      <w:adjustRightInd/>
      <w:spacing w:after="100" w:line="276" w:lineRule="auto"/>
      <w:ind w:left="220"/>
      <w:textAlignment w:val="auto"/>
    </w:pPr>
    <w:rPr>
      <w:rFonts w:ascii="Calibri" w:hAnsi="Calibri"/>
      <w:sz w:val="22"/>
      <w:szCs w:val="22"/>
    </w:rPr>
  </w:style>
  <w:style w:type="character" w:styleId="11">
    <w:name w:val="page number"/>
    <w:qFormat/>
    <w:uiPriority w:val="0"/>
  </w:style>
  <w:style w:type="character" w:customStyle="1" w:styleId="12">
    <w:name w:val="标题 1 字符"/>
    <w:link w:val="2"/>
    <w:autoRedefine/>
    <w:uiPriority w:val="9"/>
    <w:rPr>
      <w:rFonts w:ascii="Times New Roman" w:hAnsi="Times New Roman"/>
      <w:b/>
      <w:bCs/>
      <w:kern w:val="44"/>
      <w:sz w:val="44"/>
      <w:szCs w:val="44"/>
    </w:rPr>
  </w:style>
  <w:style w:type="character" w:customStyle="1" w:styleId="13">
    <w:name w:val="标题 2 字符"/>
    <w:link w:val="3"/>
    <w:autoRedefine/>
    <w:uiPriority w:val="9"/>
    <w:rPr>
      <w:rFonts w:ascii="Cambria" w:hAnsi="Cambria"/>
      <w:b/>
      <w:bCs/>
      <w:sz w:val="32"/>
      <w:szCs w:val="32"/>
    </w:rPr>
  </w:style>
  <w:style w:type="character" w:customStyle="1" w:styleId="14">
    <w:name w:val="批注框文本 字符"/>
    <w:link w:val="5"/>
    <w:autoRedefine/>
    <w:qFormat/>
    <w:uiPriority w:val="0"/>
    <w:rPr>
      <w:sz w:val="18"/>
      <w:szCs w:val="18"/>
    </w:rPr>
  </w:style>
  <w:style w:type="character" w:customStyle="1" w:styleId="15">
    <w:name w:val="页脚 字符"/>
    <w:link w:val="6"/>
    <w:qFormat/>
    <w:uiPriority w:val="99"/>
    <w:rPr>
      <w:sz w:val="18"/>
      <w:szCs w:val="18"/>
    </w:rPr>
  </w:style>
  <w:style w:type="paragraph" w:customStyle="1" w:styleId="16">
    <w:name w:val="Char Char"/>
    <w:basedOn w:val="4"/>
    <w:autoRedefine/>
    <w:uiPriority w:val="0"/>
    <w:pPr>
      <w:adjustRightInd/>
      <w:spacing w:line="240" w:lineRule="auto"/>
      <w:jc w:val="both"/>
      <w:textAlignment w:val="auto"/>
    </w:pPr>
  </w:style>
  <w:style w:type="paragraph" w:styleId="17">
    <w:name w:val="List Paragraph"/>
    <w:basedOn w:val="1"/>
    <w:autoRedefine/>
    <w:qFormat/>
    <w:uiPriority w:val="34"/>
    <w:pPr>
      <w:adjustRightInd/>
      <w:spacing w:line="240" w:lineRule="auto"/>
      <w:ind w:firstLine="420" w:firstLineChars="200"/>
      <w:jc w:val="both"/>
      <w:textAlignment w:val="auto"/>
    </w:pPr>
    <w:rPr>
      <w:rFonts w:ascii="Calibri" w:hAnsi="Calibri"/>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14</Pages>
  <Words>860</Words>
  <Characters>4905</Characters>
  <Lines>40</Lines>
  <Paragraphs>11</Paragraphs>
  <TotalTime>10</TotalTime>
  <ScaleCrop>false</ScaleCrop>
  <LinksUpToDate>false</LinksUpToDate>
  <CharactersWithSpaces>5754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2019-01-31T15:44:00Z</dcterms:created>
  <dc:creator>朱春礼</dc:creator>
  <cp:lastModifiedBy>CPA</cp:lastModifiedBy>
  <cp:lastPrinted>2022-01-18T17:13:00Z</cp:lastPrinted>
  <dcterms:modified xsi:type="dcterms:W3CDTF">2024-03-08T02:20:55Z</dcterms:modified>
  <dc:title>附件1</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158274772334455F8E13D336AFC1A278_13</vt:lpwstr>
  </property>
</Properties>
</file>