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DF82FC">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sz w:val="32"/>
          <w:szCs w:val="32"/>
        </w:rPr>
        <w:t xml:space="preserve"> </w:t>
      </w:r>
      <w:r>
        <w:rPr>
          <w:rFonts w:hint="eastAsia" w:ascii="黑体" w:hAnsi="黑体" w:eastAsia="黑体" w:cs="黑体"/>
          <w:i w:val="0"/>
          <w:iCs w:val="0"/>
          <w:caps w:val="0"/>
          <w:color w:val="333333"/>
          <w:spacing w:val="0"/>
          <w:sz w:val="32"/>
          <w:szCs w:val="32"/>
          <w:shd w:val="clear" w:color="auto" w:fill="FFFFFF"/>
        </w:rPr>
        <w:t>附件1</w:t>
      </w:r>
    </w:p>
    <w:p w14:paraId="22C26D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i w:val="0"/>
          <w:iCs w:val="0"/>
          <w:caps w:val="0"/>
          <w:color w:val="333333"/>
          <w:spacing w:val="0"/>
          <w:sz w:val="44"/>
          <w:szCs w:val="44"/>
          <w:shd w:val="clear" w:color="auto" w:fill="FFFFFF"/>
        </w:rPr>
      </w:pPr>
      <w:r>
        <w:rPr>
          <w:rFonts w:hint="eastAsia" w:ascii="方正小标宋简体" w:hAnsi="方正小标宋简体" w:eastAsia="方正小标宋简体" w:cs="方正小标宋简体"/>
          <w:i w:val="0"/>
          <w:iCs w:val="0"/>
          <w:caps w:val="0"/>
          <w:color w:val="333333"/>
          <w:spacing w:val="0"/>
          <w:sz w:val="44"/>
          <w:szCs w:val="44"/>
          <w:shd w:val="clear" w:color="auto" w:fill="FFFFFF"/>
          <w:lang w:eastAsia="zh-CN"/>
        </w:rPr>
        <w:t>天津</w:t>
      </w:r>
      <w:r>
        <w:rPr>
          <w:rFonts w:hint="eastAsia" w:ascii="方正小标宋简体" w:hAnsi="方正小标宋简体" w:eastAsia="方正小标宋简体" w:cs="方正小标宋简体"/>
          <w:i w:val="0"/>
          <w:iCs w:val="0"/>
          <w:caps w:val="0"/>
          <w:color w:val="333333"/>
          <w:spacing w:val="0"/>
          <w:sz w:val="44"/>
          <w:szCs w:val="44"/>
          <w:shd w:val="clear" w:color="auto" w:fill="FFFFFF"/>
        </w:rPr>
        <w:t>市民政领域轻微违法行为</w:t>
      </w:r>
    </w:p>
    <w:p w14:paraId="47AEEB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color w:val="333333"/>
          <w:sz w:val="44"/>
          <w:szCs w:val="44"/>
          <w:shd w:val="clear" w:color="auto" w:fill="FFFFFF"/>
        </w:rPr>
      </w:pPr>
      <w:r>
        <w:rPr>
          <w:rFonts w:hint="eastAsia" w:ascii="方正小标宋简体" w:hAnsi="方正小标宋简体" w:eastAsia="方正小标宋简体" w:cs="方正小标宋简体"/>
          <w:i w:val="0"/>
          <w:iCs w:val="0"/>
          <w:caps w:val="0"/>
          <w:color w:val="333333"/>
          <w:spacing w:val="0"/>
          <w:sz w:val="44"/>
          <w:szCs w:val="44"/>
          <w:shd w:val="clear" w:color="auto" w:fill="FFFFFF"/>
        </w:rPr>
        <w:t>不予行政处罚清单</w:t>
      </w:r>
    </w:p>
    <w:tbl>
      <w:tblPr>
        <w:tblStyle w:val="3"/>
        <w:tblW w:w="79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431"/>
        <w:gridCol w:w="657"/>
        <w:gridCol w:w="1113"/>
        <w:gridCol w:w="1410"/>
        <w:gridCol w:w="1320"/>
        <w:gridCol w:w="2040"/>
        <w:gridCol w:w="963"/>
      </w:tblGrid>
      <w:tr w14:paraId="146A1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431" w:type="dxa"/>
            <w:vMerge w:val="restart"/>
            <w:tcBorders>
              <w:top w:val="single" w:color="auto" w:sz="6" w:space="0"/>
              <w:left w:val="single" w:color="auto" w:sz="6" w:space="0"/>
              <w:bottom w:val="single" w:color="auto" w:sz="6" w:space="0"/>
              <w:right w:val="single" w:color="auto" w:sz="6" w:space="0"/>
            </w:tcBorders>
            <w:noWrap w:val="0"/>
            <w:vAlign w:val="center"/>
          </w:tcPr>
          <w:p w14:paraId="02C056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left="0" w:right="0"/>
              <w:jc w:val="center"/>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序号</w:t>
            </w:r>
          </w:p>
        </w:tc>
        <w:tc>
          <w:tcPr>
            <w:tcW w:w="657" w:type="dxa"/>
            <w:vMerge w:val="restart"/>
            <w:tcBorders>
              <w:top w:val="single" w:color="auto" w:sz="6" w:space="0"/>
              <w:left w:val="nil"/>
              <w:bottom w:val="single" w:color="auto" w:sz="6" w:space="0"/>
              <w:right w:val="single" w:color="auto" w:sz="6" w:space="0"/>
            </w:tcBorders>
            <w:noWrap w:val="0"/>
            <w:vAlign w:val="center"/>
          </w:tcPr>
          <w:p w14:paraId="3FC0D9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left="0" w:right="0"/>
              <w:jc w:val="center"/>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业务分类</w:t>
            </w:r>
          </w:p>
        </w:tc>
        <w:tc>
          <w:tcPr>
            <w:tcW w:w="1113" w:type="dxa"/>
            <w:vMerge w:val="restart"/>
            <w:tcBorders>
              <w:top w:val="single" w:color="auto" w:sz="6" w:space="0"/>
              <w:left w:val="nil"/>
              <w:bottom w:val="single" w:color="auto" w:sz="6" w:space="0"/>
              <w:right w:val="single" w:color="auto" w:sz="6" w:space="0"/>
            </w:tcBorders>
            <w:noWrap w:val="0"/>
            <w:vAlign w:val="center"/>
          </w:tcPr>
          <w:p w14:paraId="354D39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left="0" w:right="0"/>
              <w:jc w:val="center"/>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违法行为</w:t>
            </w:r>
          </w:p>
        </w:tc>
        <w:tc>
          <w:tcPr>
            <w:tcW w:w="2730" w:type="dxa"/>
            <w:gridSpan w:val="2"/>
            <w:tcBorders>
              <w:top w:val="single" w:color="auto" w:sz="6" w:space="0"/>
              <w:left w:val="nil"/>
              <w:bottom w:val="single" w:color="auto" w:sz="6" w:space="0"/>
              <w:right w:val="single" w:color="auto" w:sz="6" w:space="0"/>
            </w:tcBorders>
            <w:noWrap w:val="0"/>
            <w:vAlign w:val="center"/>
          </w:tcPr>
          <w:p w14:paraId="02A404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left="0" w:right="0"/>
              <w:jc w:val="center"/>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法律依据</w:t>
            </w:r>
          </w:p>
        </w:tc>
        <w:tc>
          <w:tcPr>
            <w:tcW w:w="2040" w:type="dxa"/>
            <w:vMerge w:val="restart"/>
            <w:tcBorders>
              <w:top w:val="single" w:color="auto" w:sz="6" w:space="0"/>
              <w:left w:val="nil"/>
              <w:bottom w:val="single" w:color="auto" w:sz="6" w:space="0"/>
              <w:right w:val="single" w:color="auto" w:sz="6" w:space="0"/>
            </w:tcBorders>
            <w:noWrap w:val="0"/>
            <w:vAlign w:val="center"/>
          </w:tcPr>
          <w:p w14:paraId="64976D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left="0" w:right="0"/>
              <w:jc w:val="center"/>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适用条件</w:t>
            </w:r>
          </w:p>
        </w:tc>
        <w:tc>
          <w:tcPr>
            <w:tcW w:w="963" w:type="dxa"/>
            <w:vMerge w:val="restart"/>
            <w:tcBorders>
              <w:top w:val="single" w:color="auto" w:sz="6" w:space="0"/>
              <w:left w:val="nil"/>
              <w:bottom w:val="single" w:color="auto" w:sz="6" w:space="0"/>
              <w:right w:val="single" w:color="auto" w:sz="6" w:space="0"/>
            </w:tcBorders>
            <w:noWrap w:val="0"/>
            <w:vAlign w:val="center"/>
          </w:tcPr>
          <w:p w14:paraId="4AD0CF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exact"/>
              <w:ind w:left="0" w:right="0"/>
              <w:jc w:val="center"/>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行使层级执法层级</w:t>
            </w:r>
          </w:p>
        </w:tc>
      </w:tr>
      <w:tr w14:paraId="51BC0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431" w:type="dxa"/>
            <w:vMerge w:val="continue"/>
            <w:tcBorders>
              <w:top w:val="single" w:color="auto" w:sz="6" w:space="0"/>
              <w:left w:val="single" w:color="auto" w:sz="6" w:space="0"/>
              <w:bottom w:val="single" w:color="auto" w:sz="6" w:space="0"/>
              <w:right w:val="single" w:color="auto" w:sz="6" w:space="0"/>
            </w:tcBorders>
            <w:noWrap w:val="0"/>
            <w:vAlign w:val="center"/>
          </w:tcPr>
          <w:p w14:paraId="1A6CAD41">
            <w:pPr>
              <w:rPr>
                <w:rFonts w:hint="eastAsia" w:ascii="方正仿宋_GB2312" w:hAnsi="方正仿宋_GB2312" w:eastAsia="方正仿宋_GB2312" w:cs="方正仿宋_GB2312"/>
                <w:sz w:val="21"/>
                <w:szCs w:val="21"/>
              </w:rPr>
            </w:pPr>
          </w:p>
        </w:tc>
        <w:tc>
          <w:tcPr>
            <w:tcW w:w="657" w:type="dxa"/>
            <w:vMerge w:val="continue"/>
            <w:tcBorders>
              <w:top w:val="single" w:color="auto" w:sz="6" w:space="0"/>
              <w:left w:val="nil"/>
              <w:bottom w:val="single" w:color="auto" w:sz="6" w:space="0"/>
              <w:right w:val="single" w:color="auto" w:sz="6" w:space="0"/>
            </w:tcBorders>
            <w:noWrap w:val="0"/>
            <w:vAlign w:val="center"/>
          </w:tcPr>
          <w:p w14:paraId="1D3C2064">
            <w:pPr>
              <w:rPr>
                <w:rFonts w:hint="eastAsia" w:ascii="方正仿宋_GB2312" w:hAnsi="方正仿宋_GB2312" w:eastAsia="方正仿宋_GB2312" w:cs="方正仿宋_GB2312"/>
                <w:sz w:val="21"/>
                <w:szCs w:val="21"/>
              </w:rPr>
            </w:pPr>
          </w:p>
        </w:tc>
        <w:tc>
          <w:tcPr>
            <w:tcW w:w="1113" w:type="dxa"/>
            <w:vMerge w:val="continue"/>
            <w:tcBorders>
              <w:top w:val="single" w:color="auto" w:sz="6" w:space="0"/>
              <w:left w:val="nil"/>
              <w:bottom w:val="single" w:color="auto" w:sz="6" w:space="0"/>
              <w:right w:val="single" w:color="auto" w:sz="6" w:space="0"/>
            </w:tcBorders>
            <w:noWrap w:val="0"/>
            <w:vAlign w:val="center"/>
          </w:tcPr>
          <w:p w14:paraId="5CA3BA13">
            <w:pPr>
              <w:rPr>
                <w:rFonts w:hint="eastAsia" w:ascii="方正仿宋_GB2312" w:hAnsi="方正仿宋_GB2312" w:eastAsia="方正仿宋_GB2312" w:cs="方正仿宋_GB2312"/>
                <w:sz w:val="21"/>
                <w:szCs w:val="21"/>
              </w:rPr>
            </w:pPr>
          </w:p>
        </w:tc>
        <w:tc>
          <w:tcPr>
            <w:tcW w:w="1410" w:type="dxa"/>
            <w:tcBorders>
              <w:top w:val="nil"/>
              <w:left w:val="nil"/>
              <w:bottom w:val="single" w:color="auto" w:sz="6" w:space="0"/>
              <w:right w:val="single" w:color="auto" w:sz="6" w:space="0"/>
            </w:tcBorders>
            <w:noWrap w:val="0"/>
            <w:vAlign w:val="center"/>
          </w:tcPr>
          <w:p w14:paraId="6A16C3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违法行为依据</w:t>
            </w:r>
          </w:p>
        </w:tc>
        <w:tc>
          <w:tcPr>
            <w:tcW w:w="1320" w:type="dxa"/>
            <w:tcBorders>
              <w:top w:val="nil"/>
              <w:left w:val="nil"/>
              <w:bottom w:val="single" w:color="auto" w:sz="6" w:space="0"/>
              <w:right w:val="single" w:color="auto" w:sz="6" w:space="0"/>
            </w:tcBorders>
            <w:noWrap w:val="0"/>
            <w:vAlign w:val="center"/>
          </w:tcPr>
          <w:p w14:paraId="4495FD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exact"/>
              <w:ind w:left="0" w:right="0"/>
              <w:jc w:val="center"/>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处罚依据</w:t>
            </w:r>
          </w:p>
        </w:tc>
        <w:tc>
          <w:tcPr>
            <w:tcW w:w="2040" w:type="dxa"/>
            <w:vMerge w:val="continue"/>
            <w:tcBorders>
              <w:top w:val="single" w:color="auto" w:sz="6" w:space="0"/>
              <w:left w:val="nil"/>
              <w:bottom w:val="single" w:color="auto" w:sz="6" w:space="0"/>
              <w:right w:val="single" w:color="auto" w:sz="6" w:space="0"/>
            </w:tcBorders>
            <w:noWrap w:val="0"/>
            <w:vAlign w:val="center"/>
          </w:tcPr>
          <w:p w14:paraId="3DC742CB">
            <w:pPr>
              <w:rPr>
                <w:rFonts w:hint="eastAsia" w:ascii="方正仿宋_GB2312" w:hAnsi="方正仿宋_GB2312" w:eastAsia="方正仿宋_GB2312" w:cs="方正仿宋_GB2312"/>
                <w:sz w:val="21"/>
                <w:szCs w:val="21"/>
              </w:rPr>
            </w:pPr>
          </w:p>
        </w:tc>
        <w:tc>
          <w:tcPr>
            <w:tcW w:w="963" w:type="dxa"/>
            <w:vMerge w:val="continue"/>
            <w:tcBorders>
              <w:top w:val="single" w:color="auto" w:sz="6" w:space="0"/>
              <w:left w:val="nil"/>
              <w:bottom w:val="single" w:color="auto" w:sz="6" w:space="0"/>
              <w:right w:val="single" w:color="auto" w:sz="6" w:space="0"/>
            </w:tcBorders>
            <w:noWrap w:val="0"/>
            <w:vAlign w:val="center"/>
          </w:tcPr>
          <w:p w14:paraId="4AF21A59">
            <w:pPr>
              <w:rPr>
                <w:rFonts w:hint="eastAsia" w:ascii="方正仿宋_GB2312" w:hAnsi="方正仿宋_GB2312" w:eastAsia="方正仿宋_GB2312" w:cs="方正仿宋_GB2312"/>
                <w:sz w:val="21"/>
                <w:szCs w:val="21"/>
              </w:rPr>
            </w:pPr>
          </w:p>
        </w:tc>
      </w:tr>
      <w:tr w14:paraId="22128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96" w:hRule="atLeast"/>
          <w:jc w:val="center"/>
        </w:trPr>
        <w:tc>
          <w:tcPr>
            <w:tcW w:w="431" w:type="dxa"/>
            <w:tcBorders>
              <w:top w:val="single" w:color="auto" w:sz="6" w:space="0"/>
              <w:left w:val="single" w:color="auto" w:sz="6" w:space="0"/>
              <w:bottom w:val="single" w:color="auto" w:sz="6" w:space="0"/>
              <w:right w:val="single" w:color="auto" w:sz="6" w:space="0"/>
            </w:tcBorders>
            <w:noWrap w:val="0"/>
            <w:vAlign w:val="center"/>
          </w:tcPr>
          <w:p w14:paraId="7E961A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00" w:lineRule="atLeast"/>
              <w:ind w:left="0" w:right="0"/>
              <w:jc w:val="center"/>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1</w:t>
            </w:r>
          </w:p>
        </w:tc>
        <w:tc>
          <w:tcPr>
            <w:tcW w:w="657" w:type="dxa"/>
            <w:tcBorders>
              <w:top w:val="single" w:color="auto" w:sz="6" w:space="0"/>
              <w:left w:val="single" w:color="auto" w:sz="6" w:space="0"/>
              <w:bottom w:val="single" w:color="auto" w:sz="6" w:space="0"/>
              <w:right w:val="single" w:color="auto" w:sz="6" w:space="0"/>
            </w:tcBorders>
            <w:noWrap w:val="0"/>
            <w:vAlign w:val="center"/>
          </w:tcPr>
          <w:p w14:paraId="010A9C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00" w:lineRule="atLeast"/>
              <w:ind w:left="0" w:right="0"/>
              <w:jc w:val="center"/>
              <w:textAlignment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社会团体</w:t>
            </w:r>
          </w:p>
        </w:tc>
        <w:tc>
          <w:tcPr>
            <w:tcW w:w="1113" w:type="dxa"/>
            <w:tcBorders>
              <w:top w:val="single" w:color="auto" w:sz="6" w:space="0"/>
              <w:left w:val="single" w:color="auto" w:sz="6" w:space="0"/>
              <w:bottom w:val="single" w:color="auto" w:sz="6" w:space="0"/>
              <w:right w:val="single" w:color="auto" w:sz="6" w:space="0"/>
            </w:tcBorders>
            <w:noWrap w:val="0"/>
            <w:vAlign w:val="center"/>
          </w:tcPr>
          <w:p w14:paraId="2CFF0A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00" w:lineRule="atLeast"/>
              <w:ind w:left="0" w:right="0"/>
              <w:jc w:val="both"/>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社会团体不按照规定办理住所变更登记的行为</w:t>
            </w:r>
          </w:p>
        </w:tc>
        <w:tc>
          <w:tcPr>
            <w:tcW w:w="1410" w:type="dxa"/>
            <w:tcBorders>
              <w:top w:val="single" w:color="auto" w:sz="6" w:space="0"/>
              <w:left w:val="single" w:color="auto" w:sz="6" w:space="0"/>
              <w:bottom w:val="single" w:color="auto" w:sz="6" w:space="0"/>
              <w:right w:val="single" w:color="auto" w:sz="6" w:space="0"/>
            </w:tcBorders>
            <w:noWrap w:val="0"/>
            <w:vAlign w:val="center"/>
          </w:tcPr>
          <w:p w14:paraId="164297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00" w:lineRule="atLeast"/>
              <w:ind w:left="0" w:right="0"/>
              <w:jc w:val="both"/>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《社会团体登记管理条例》第十二条第二款、第十八条第一款</w:t>
            </w:r>
          </w:p>
        </w:tc>
        <w:tc>
          <w:tcPr>
            <w:tcW w:w="1320" w:type="dxa"/>
            <w:tcBorders>
              <w:top w:val="single" w:color="auto" w:sz="6" w:space="0"/>
              <w:left w:val="single" w:color="auto" w:sz="6" w:space="0"/>
              <w:bottom w:val="single" w:color="auto" w:sz="6" w:space="0"/>
              <w:right w:val="single" w:color="auto" w:sz="6" w:space="0"/>
            </w:tcBorders>
            <w:noWrap w:val="0"/>
            <w:vAlign w:val="center"/>
          </w:tcPr>
          <w:p w14:paraId="24E4B3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00" w:lineRule="atLeast"/>
              <w:ind w:left="0" w:right="0"/>
              <w:jc w:val="both"/>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《社会团体登记管理条例》第三十条第一款第（四）项、第二款</w:t>
            </w:r>
          </w:p>
        </w:tc>
        <w:tc>
          <w:tcPr>
            <w:tcW w:w="2040" w:type="dxa"/>
            <w:tcBorders>
              <w:top w:val="single" w:color="auto" w:sz="6" w:space="0"/>
              <w:left w:val="single" w:color="auto" w:sz="6" w:space="0"/>
              <w:bottom w:val="single" w:color="auto" w:sz="6" w:space="0"/>
              <w:right w:val="single" w:color="auto" w:sz="6" w:space="0"/>
            </w:tcBorders>
            <w:noWrap w:val="0"/>
            <w:vAlign w:val="center"/>
          </w:tcPr>
          <w:p w14:paraId="08FEE2C8">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jc w:val="both"/>
              <w:textAlignment w:val="center"/>
              <w:rPr>
                <w:rFonts w:hint="eastAsia" w:ascii="方正仿宋_GB2312" w:hAnsi="方正仿宋_GB2312" w:eastAsia="方正仿宋_GB2312" w:cs="方正仿宋_GB2312"/>
                <w:sz w:val="21"/>
                <w:szCs w:val="21"/>
                <w:lang w:val="en-US" w:eastAsia="zh-CN"/>
              </w:rPr>
            </w:pPr>
          </w:p>
          <w:p w14:paraId="60DCFF80">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jc w:val="both"/>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val="en-US" w:eastAsia="zh-CN"/>
              </w:rPr>
              <w:t>1.</w:t>
            </w:r>
            <w:r>
              <w:rPr>
                <w:rFonts w:hint="eastAsia" w:ascii="方正仿宋_GB2312" w:hAnsi="方正仿宋_GB2312" w:eastAsia="方正仿宋_GB2312" w:cs="方正仿宋_GB2312"/>
                <w:sz w:val="21"/>
                <w:szCs w:val="21"/>
              </w:rPr>
              <w:t>违法行为轻微，未造成危害后果，主动整改或在民政部门责令改正期限内改正；</w:t>
            </w:r>
          </w:p>
          <w:p w14:paraId="74DFF050">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jc w:val="both"/>
              <w:textAlignment w:val="center"/>
              <w:rPr>
                <w:rFonts w:hint="eastAsia" w:ascii="方正仿宋_GB2312" w:hAnsi="方正仿宋_GB2312" w:eastAsia="方正仿宋_GB2312" w:cs="方正仿宋_GB2312"/>
                <w:sz w:val="21"/>
                <w:szCs w:val="21"/>
              </w:rPr>
            </w:pPr>
          </w:p>
          <w:p w14:paraId="3F01CBFE">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jc w:val="both"/>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2.初次违法，</w:t>
            </w:r>
            <w:r>
              <w:rPr>
                <w:rFonts w:hint="eastAsia" w:ascii="方正仿宋_GB2312" w:hAnsi="方正仿宋_GB2312" w:eastAsia="方正仿宋_GB2312" w:cs="方正仿宋_GB2312"/>
                <w:sz w:val="21"/>
                <w:szCs w:val="21"/>
                <w:lang w:val="en-US" w:eastAsia="zh-CN"/>
              </w:rPr>
              <w:t>即</w:t>
            </w:r>
            <w:r>
              <w:rPr>
                <w:rFonts w:hint="eastAsia" w:ascii="方正仿宋_GB2312" w:hAnsi="方正仿宋_GB2312" w:eastAsia="方正仿宋_GB2312" w:cs="方正仿宋_GB2312"/>
                <w:sz w:val="21"/>
                <w:szCs w:val="21"/>
              </w:rPr>
              <w:t>检查之日起前两年内无违反同一法律规定的查处记录</w:t>
            </w:r>
            <w:r>
              <w:rPr>
                <w:rFonts w:hint="eastAsia" w:ascii="方正仿宋_GB2312" w:hAnsi="方正仿宋_GB2312" w:eastAsia="方正仿宋_GB2312" w:cs="方正仿宋_GB2312"/>
                <w:sz w:val="21"/>
                <w:szCs w:val="21"/>
                <w:lang w:eastAsia="zh-CN"/>
              </w:rPr>
              <w:t>，</w:t>
            </w:r>
            <w:r>
              <w:rPr>
                <w:rFonts w:hint="eastAsia" w:ascii="方正仿宋_GB2312" w:hAnsi="方正仿宋_GB2312" w:eastAsia="方正仿宋_GB2312" w:cs="方正仿宋_GB2312"/>
                <w:sz w:val="21"/>
                <w:szCs w:val="21"/>
              </w:rPr>
              <w:t>危害后果轻微，主动整改或在民政部门责令改正期限内改正。</w:t>
            </w:r>
          </w:p>
        </w:tc>
        <w:tc>
          <w:tcPr>
            <w:tcW w:w="963" w:type="dxa"/>
            <w:tcBorders>
              <w:top w:val="single" w:color="auto" w:sz="6" w:space="0"/>
              <w:left w:val="single" w:color="auto" w:sz="6" w:space="0"/>
              <w:bottom w:val="single" w:color="auto" w:sz="6" w:space="0"/>
              <w:right w:val="single" w:color="auto" w:sz="6" w:space="0"/>
            </w:tcBorders>
            <w:noWrap w:val="0"/>
            <w:vAlign w:val="center"/>
          </w:tcPr>
          <w:p w14:paraId="34DE13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00" w:lineRule="atLeast"/>
              <w:ind w:left="0" w:right="0"/>
              <w:jc w:val="center"/>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市级、区级</w:t>
            </w:r>
          </w:p>
        </w:tc>
      </w:tr>
      <w:tr w14:paraId="3C2EB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57" w:hRule="atLeast"/>
          <w:jc w:val="center"/>
        </w:trPr>
        <w:tc>
          <w:tcPr>
            <w:tcW w:w="431" w:type="dxa"/>
            <w:tcBorders>
              <w:top w:val="single" w:color="auto" w:sz="6" w:space="0"/>
              <w:left w:val="single" w:color="auto" w:sz="6" w:space="0"/>
              <w:bottom w:val="single" w:color="auto" w:sz="6" w:space="0"/>
              <w:right w:val="single" w:color="auto" w:sz="6" w:space="0"/>
            </w:tcBorders>
            <w:noWrap w:val="0"/>
            <w:vAlign w:val="center"/>
          </w:tcPr>
          <w:p w14:paraId="44353C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00" w:lineRule="atLeast"/>
              <w:ind w:left="0" w:leftChars="0" w:right="0" w:rightChars="0"/>
              <w:jc w:val="center"/>
              <w:textAlignment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2</w:t>
            </w:r>
          </w:p>
        </w:tc>
        <w:tc>
          <w:tcPr>
            <w:tcW w:w="657" w:type="dxa"/>
            <w:tcBorders>
              <w:top w:val="single" w:color="auto" w:sz="6" w:space="0"/>
              <w:left w:val="single" w:color="auto" w:sz="6" w:space="0"/>
              <w:bottom w:val="single" w:color="auto" w:sz="6" w:space="0"/>
              <w:right w:val="single" w:color="auto" w:sz="6" w:space="0"/>
            </w:tcBorders>
            <w:noWrap w:val="0"/>
            <w:vAlign w:val="center"/>
          </w:tcPr>
          <w:p w14:paraId="0C2EBE3B">
            <w:pPr>
              <w:pStyle w:val="2"/>
              <w:widowControl/>
              <w:spacing w:before="225" w:beforeAutospacing="0" w:afterAutospacing="0" w:line="300" w:lineRule="atLeast"/>
              <w:ind w:left="0" w:leftChars="0" w:right="0" w:rightChars="0"/>
              <w:jc w:val="center"/>
              <w:textAlignment w:val="center"/>
              <w:rPr>
                <w:rFonts w:hint="eastAsia" w:ascii="方正仿宋_GB2312" w:hAnsi="方正仿宋_GB2312" w:eastAsia="方正仿宋_GB2312" w:cs="方正仿宋_GB2312"/>
                <w:kern w:val="0"/>
                <w:sz w:val="21"/>
                <w:szCs w:val="21"/>
                <w:lang w:val="en-US" w:eastAsia="zh-CN" w:bidi="ar"/>
              </w:rPr>
            </w:pPr>
            <w:r>
              <w:rPr>
                <w:rFonts w:hint="eastAsia" w:ascii="方正仿宋_GB2312" w:hAnsi="方正仿宋_GB2312" w:eastAsia="方正仿宋_GB2312" w:cs="方正仿宋_GB2312"/>
                <w:sz w:val="21"/>
                <w:szCs w:val="21"/>
              </w:rPr>
              <w:t>民非</w:t>
            </w:r>
          </w:p>
        </w:tc>
        <w:tc>
          <w:tcPr>
            <w:tcW w:w="1113" w:type="dxa"/>
            <w:tcBorders>
              <w:top w:val="single" w:color="auto" w:sz="6" w:space="0"/>
              <w:left w:val="single" w:color="auto" w:sz="6" w:space="0"/>
              <w:bottom w:val="single" w:color="auto" w:sz="6" w:space="0"/>
              <w:right w:val="single" w:color="auto" w:sz="6" w:space="0"/>
            </w:tcBorders>
            <w:noWrap w:val="0"/>
            <w:vAlign w:val="center"/>
          </w:tcPr>
          <w:p w14:paraId="03245913">
            <w:pPr>
              <w:pStyle w:val="2"/>
              <w:widowControl/>
              <w:spacing w:before="225" w:beforeAutospacing="0" w:afterAutospacing="0" w:line="300" w:lineRule="atLeast"/>
              <w:ind w:left="0" w:leftChars="0" w:right="0" w:rightChars="0"/>
              <w:jc w:val="both"/>
              <w:textAlignment w:val="center"/>
              <w:rPr>
                <w:rFonts w:hint="eastAsia" w:ascii="方正仿宋_GB2312" w:hAnsi="方正仿宋_GB2312" w:eastAsia="方正仿宋_GB2312" w:cs="方正仿宋_GB2312"/>
                <w:kern w:val="0"/>
                <w:sz w:val="21"/>
                <w:szCs w:val="21"/>
                <w:lang w:val="en-US" w:eastAsia="zh-CN" w:bidi="ar"/>
              </w:rPr>
            </w:pPr>
            <w:r>
              <w:rPr>
                <w:rFonts w:hint="eastAsia" w:ascii="方正仿宋_GB2312" w:hAnsi="方正仿宋_GB2312" w:eastAsia="方正仿宋_GB2312" w:cs="方正仿宋_GB2312"/>
                <w:sz w:val="21"/>
                <w:szCs w:val="21"/>
              </w:rPr>
              <w:t>民办非企业单位不按照规定办理住所变更登记的行为</w:t>
            </w:r>
          </w:p>
        </w:tc>
        <w:tc>
          <w:tcPr>
            <w:tcW w:w="1410" w:type="dxa"/>
            <w:tcBorders>
              <w:top w:val="single" w:color="auto" w:sz="6" w:space="0"/>
              <w:left w:val="single" w:color="auto" w:sz="6" w:space="0"/>
              <w:bottom w:val="single" w:color="auto" w:sz="6" w:space="0"/>
              <w:right w:val="single" w:color="auto" w:sz="6" w:space="0"/>
            </w:tcBorders>
            <w:noWrap w:val="0"/>
            <w:vAlign w:val="center"/>
          </w:tcPr>
          <w:p w14:paraId="67343544">
            <w:pPr>
              <w:pStyle w:val="2"/>
              <w:widowControl/>
              <w:spacing w:before="225" w:beforeAutospacing="0" w:afterAutospacing="0" w:line="300" w:lineRule="atLeast"/>
              <w:ind w:left="0" w:leftChars="0" w:right="0" w:rightChars="0"/>
              <w:jc w:val="both"/>
              <w:textAlignment w:val="center"/>
              <w:rPr>
                <w:rFonts w:hint="eastAsia" w:ascii="方正仿宋_GB2312" w:hAnsi="方正仿宋_GB2312" w:eastAsia="方正仿宋_GB2312" w:cs="方正仿宋_GB2312"/>
                <w:kern w:val="0"/>
                <w:sz w:val="21"/>
                <w:szCs w:val="21"/>
                <w:lang w:val="en-US" w:eastAsia="zh-CN" w:bidi="ar"/>
              </w:rPr>
            </w:pPr>
            <w:r>
              <w:rPr>
                <w:rFonts w:hint="eastAsia" w:ascii="方正仿宋_GB2312" w:hAnsi="方正仿宋_GB2312" w:eastAsia="方正仿宋_GB2312" w:cs="方正仿宋_GB2312"/>
                <w:sz w:val="21"/>
                <w:szCs w:val="21"/>
              </w:rPr>
              <w:t>《民办非企业单位登记管理暂行条例》第十五条第一款</w:t>
            </w:r>
          </w:p>
        </w:tc>
        <w:tc>
          <w:tcPr>
            <w:tcW w:w="1320" w:type="dxa"/>
            <w:tcBorders>
              <w:top w:val="single" w:color="auto" w:sz="6" w:space="0"/>
              <w:left w:val="single" w:color="auto" w:sz="6" w:space="0"/>
              <w:bottom w:val="single" w:color="auto" w:sz="6" w:space="0"/>
              <w:right w:val="single" w:color="auto" w:sz="6" w:space="0"/>
            </w:tcBorders>
            <w:noWrap w:val="0"/>
            <w:vAlign w:val="center"/>
          </w:tcPr>
          <w:p w14:paraId="7CCCEBA8">
            <w:pPr>
              <w:pStyle w:val="2"/>
              <w:widowControl/>
              <w:spacing w:before="225" w:beforeAutospacing="0" w:afterAutospacing="0" w:line="300" w:lineRule="atLeast"/>
              <w:ind w:left="0" w:leftChars="0" w:right="0" w:rightChars="0"/>
              <w:jc w:val="both"/>
              <w:textAlignment w:val="center"/>
              <w:rPr>
                <w:rFonts w:hint="eastAsia" w:ascii="方正仿宋_GB2312" w:hAnsi="方正仿宋_GB2312" w:eastAsia="方正仿宋_GB2312" w:cs="方正仿宋_GB2312"/>
                <w:kern w:val="0"/>
                <w:sz w:val="21"/>
                <w:szCs w:val="21"/>
                <w:lang w:val="en-US" w:eastAsia="zh-CN" w:bidi="ar"/>
              </w:rPr>
            </w:pPr>
            <w:r>
              <w:rPr>
                <w:rFonts w:hint="eastAsia" w:ascii="方正仿宋_GB2312" w:hAnsi="方正仿宋_GB2312" w:eastAsia="方正仿宋_GB2312" w:cs="方正仿宋_GB2312"/>
                <w:sz w:val="21"/>
                <w:szCs w:val="21"/>
              </w:rPr>
              <w:t>《民办非企业单位登记管理暂行条例》第二十五条第一款第</w:t>
            </w:r>
            <w:r>
              <w:rPr>
                <w:rFonts w:hint="eastAsia" w:ascii="方正仿宋_GB2312" w:hAnsi="方正仿宋_GB2312" w:eastAsia="方正仿宋_GB2312" w:cs="方正仿宋_GB2312"/>
                <w:sz w:val="21"/>
                <w:szCs w:val="21"/>
                <w:lang w:eastAsia="zh-CN"/>
              </w:rPr>
              <w:t>（</w:t>
            </w:r>
            <w:r>
              <w:rPr>
                <w:rFonts w:hint="eastAsia" w:ascii="方正仿宋_GB2312" w:hAnsi="方正仿宋_GB2312" w:eastAsia="方正仿宋_GB2312" w:cs="方正仿宋_GB2312"/>
                <w:sz w:val="21"/>
                <w:szCs w:val="21"/>
              </w:rPr>
              <w:t>四</w:t>
            </w:r>
            <w:r>
              <w:rPr>
                <w:rFonts w:hint="eastAsia" w:ascii="方正仿宋_GB2312" w:hAnsi="方正仿宋_GB2312" w:eastAsia="方正仿宋_GB2312" w:cs="方正仿宋_GB2312"/>
                <w:sz w:val="21"/>
                <w:szCs w:val="21"/>
                <w:lang w:eastAsia="zh-CN"/>
              </w:rPr>
              <w:t>）</w:t>
            </w:r>
            <w:r>
              <w:rPr>
                <w:rFonts w:hint="eastAsia" w:ascii="方正仿宋_GB2312" w:hAnsi="方正仿宋_GB2312" w:eastAsia="方正仿宋_GB2312" w:cs="方正仿宋_GB2312"/>
                <w:sz w:val="21"/>
                <w:szCs w:val="21"/>
              </w:rPr>
              <w:t>项、第二款</w:t>
            </w:r>
          </w:p>
        </w:tc>
        <w:tc>
          <w:tcPr>
            <w:tcW w:w="2040" w:type="dxa"/>
            <w:tcBorders>
              <w:top w:val="single" w:color="auto" w:sz="6" w:space="0"/>
              <w:left w:val="single" w:color="auto" w:sz="6" w:space="0"/>
              <w:bottom w:val="single" w:color="auto" w:sz="6" w:space="0"/>
              <w:right w:val="single" w:color="auto" w:sz="6" w:space="0"/>
            </w:tcBorders>
            <w:noWrap w:val="0"/>
            <w:vAlign w:val="center"/>
          </w:tcPr>
          <w:p w14:paraId="3E7DC42C">
            <w:pPr>
              <w:pStyle w:val="2"/>
              <w:widowControl/>
              <w:spacing w:before="0" w:beforeAutospacing="0" w:after="0" w:afterAutospacing="0" w:line="300" w:lineRule="atLeast"/>
              <w:jc w:val="both"/>
              <w:textAlignment w:val="center"/>
              <w:rPr>
                <w:rFonts w:hint="eastAsia" w:ascii="方正仿宋_GB2312" w:hAnsi="方正仿宋_GB2312" w:eastAsia="方正仿宋_GB2312" w:cs="方正仿宋_GB2312"/>
                <w:sz w:val="21"/>
                <w:szCs w:val="21"/>
              </w:rPr>
            </w:pPr>
          </w:p>
          <w:p w14:paraId="097913AB">
            <w:pPr>
              <w:pStyle w:val="2"/>
              <w:widowControl/>
              <w:spacing w:before="0" w:beforeAutospacing="0" w:after="0" w:afterAutospacing="0" w:line="300" w:lineRule="atLeast"/>
              <w:jc w:val="both"/>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1.违法行为轻微，未造成危害后果，主动整改或在民政部门责令改正期限内改正；</w:t>
            </w:r>
          </w:p>
          <w:p w14:paraId="5329EF51">
            <w:pPr>
              <w:pStyle w:val="2"/>
              <w:widowControl/>
              <w:spacing w:before="0" w:beforeAutospacing="0" w:after="0" w:afterAutospacing="0" w:line="300" w:lineRule="atLeast"/>
              <w:ind w:left="0" w:leftChars="0" w:right="0" w:rightChars="0"/>
              <w:jc w:val="both"/>
              <w:textAlignment w:val="center"/>
              <w:rPr>
                <w:rFonts w:hint="eastAsia" w:ascii="方正仿宋_GB2312" w:hAnsi="方正仿宋_GB2312" w:eastAsia="方正仿宋_GB2312" w:cs="方正仿宋_GB2312"/>
                <w:sz w:val="21"/>
                <w:szCs w:val="21"/>
              </w:rPr>
            </w:pPr>
          </w:p>
          <w:p w14:paraId="7F6C8492">
            <w:pPr>
              <w:pStyle w:val="2"/>
              <w:widowControl/>
              <w:spacing w:before="0" w:beforeAutospacing="0" w:after="0" w:afterAutospacing="0" w:line="300" w:lineRule="atLeast"/>
              <w:ind w:left="0" w:leftChars="0" w:right="0" w:rightChars="0"/>
              <w:jc w:val="both"/>
              <w:textAlignment w:val="center"/>
              <w:rPr>
                <w:rFonts w:hint="eastAsia" w:ascii="方正仿宋_GB2312" w:hAnsi="方正仿宋_GB2312" w:eastAsia="方正仿宋_GB2312" w:cs="方正仿宋_GB2312"/>
                <w:kern w:val="0"/>
                <w:sz w:val="21"/>
                <w:szCs w:val="21"/>
                <w:lang w:val="en-US" w:eastAsia="zh-CN" w:bidi="ar"/>
              </w:rPr>
            </w:pPr>
            <w:r>
              <w:rPr>
                <w:rFonts w:hint="eastAsia" w:ascii="方正仿宋_GB2312" w:hAnsi="方正仿宋_GB2312" w:eastAsia="方正仿宋_GB2312" w:cs="方正仿宋_GB2312"/>
                <w:sz w:val="21"/>
                <w:szCs w:val="21"/>
              </w:rPr>
              <w:t>2.初次违法，</w:t>
            </w:r>
            <w:r>
              <w:rPr>
                <w:rFonts w:hint="eastAsia" w:ascii="方正仿宋_GB2312" w:hAnsi="方正仿宋_GB2312" w:eastAsia="方正仿宋_GB2312" w:cs="方正仿宋_GB2312"/>
                <w:sz w:val="21"/>
                <w:szCs w:val="21"/>
                <w:lang w:val="en-US" w:eastAsia="zh-CN"/>
              </w:rPr>
              <w:t>即检查之日起前两年内无违反同一法律规定的查处记录，</w:t>
            </w:r>
            <w:r>
              <w:rPr>
                <w:rFonts w:hint="eastAsia" w:ascii="方正仿宋_GB2312" w:hAnsi="方正仿宋_GB2312" w:eastAsia="方正仿宋_GB2312" w:cs="方正仿宋_GB2312"/>
                <w:sz w:val="21"/>
                <w:szCs w:val="21"/>
              </w:rPr>
              <w:t>危害后果轻微，主动整改或在民政部门责令改正期限内改正。</w:t>
            </w:r>
          </w:p>
        </w:tc>
        <w:tc>
          <w:tcPr>
            <w:tcW w:w="963" w:type="dxa"/>
            <w:tcBorders>
              <w:top w:val="single" w:color="auto" w:sz="6" w:space="0"/>
              <w:left w:val="single" w:color="auto" w:sz="6" w:space="0"/>
              <w:bottom w:val="single" w:color="auto" w:sz="6" w:space="0"/>
              <w:right w:val="single" w:color="auto" w:sz="6" w:space="0"/>
            </w:tcBorders>
            <w:noWrap w:val="0"/>
            <w:vAlign w:val="center"/>
          </w:tcPr>
          <w:p w14:paraId="73B33BF4">
            <w:pPr>
              <w:pStyle w:val="2"/>
              <w:widowControl/>
              <w:spacing w:before="225" w:beforeAutospacing="0" w:afterAutospacing="0" w:line="300" w:lineRule="atLeast"/>
              <w:ind w:left="0" w:leftChars="0" w:right="0" w:rightChars="0"/>
              <w:jc w:val="center"/>
              <w:textAlignment w:val="center"/>
              <w:rPr>
                <w:rFonts w:hint="eastAsia" w:ascii="方正仿宋_GB2312" w:hAnsi="方正仿宋_GB2312" w:eastAsia="方正仿宋_GB2312" w:cs="方正仿宋_GB2312"/>
                <w:kern w:val="0"/>
                <w:sz w:val="21"/>
                <w:szCs w:val="21"/>
                <w:lang w:val="en-US" w:eastAsia="zh-CN" w:bidi="ar"/>
              </w:rPr>
            </w:pPr>
            <w:r>
              <w:rPr>
                <w:rFonts w:hint="eastAsia" w:ascii="方正仿宋_GB2312" w:hAnsi="方正仿宋_GB2312" w:eastAsia="方正仿宋_GB2312" w:cs="方正仿宋_GB2312"/>
                <w:sz w:val="21"/>
                <w:szCs w:val="21"/>
              </w:rPr>
              <w:t>市级、区级</w:t>
            </w:r>
          </w:p>
        </w:tc>
      </w:tr>
      <w:tr w14:paraId="480A9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0" w:hRule="atLeast"/>
          <w:jc w:val="center"/>
        </w:trPr>
        <w:tc>
          <w:tcPr>
            <w:tcW w:w="431" w:type="dxa"/>
            <w:tcBorders>
              <w:top w:val="single" w:color="auto" w:sz="6" w:space="0"/>
              <w:left w:val="single" w:color="auto" w:sz="6" w:space="0"/>
              <w:bottom w:val="single" w:color="auto" w:sz="6" w:space="0"/>
              <w:right w:val="single" w:color="auto" w:sz="6" w:space="0"/>
            </w:tcBorders>
            <w:noWrap w:val="0"/>
            <w:vAlign w:val="center"/>
          </w:tcPr>
          <w:p w14:paraId="1DA2C5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00" w:lineRule="atLeast"/>
              <w:ind w:left="0" w:leftChars="0" w:right="0" w:rightChars="0"/>
              <w:jc w:val="center"/>
              <w:textAlignment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3</w:t>
            </w:r>
          </w:p>
        </w:tc>
        <w:tc>
          <w:tcPr>
            <w:tcW w:w="657" w:type="dxa"/>
            <w:tcBorders>
              <w:top w:val="single" w:color="auto" w:sz="6" w:space="0"/>
              <w:left w:val="single" w:color="auto" w:sz="6" w:space="0"/>
              <w:bottom w:val="single" w:color="auto" w:sz="6" w:space="0"/>
              <w:right w:val="single" w:color="auto" w:sz="6" w:space="0"/>
            </w:tcBorders>
            <w:noWrap w:val="0"/>
            <w:vAlign w:val="center"/>
          </w:tcPr>
          <w:p w14:paraId="3C44DB1F">
            <w:pPr>
              <w:pStyle w:val="2"/>
              <w:widowControl/>
              <w:spacing w:before="225" w:beforeAutospacing="0" w:afterAutospacing="0" w:line="300" w:lineRule="atLeast"/>
              <w:ind w:left="0" w:leftChars="0" w:right="0" w:rightChars="0"/>
              <w:jc w:val="center"/>
              <w:textAlignment w:val="center"/>
              <w:rPr>
                <w:rFonts w:hint="eastAsia" w:ascii="方正仿宋_GB2312" w:hAnsi="方正仿宋_GB2312" w:eastAsia="方正仿宋_GB2312" w:cs="方正仿宋_GB2312"/>
                <w:kern w:val="0"/>
                <w:sz w:val="21"/>
                <w:szCs w:val="21"/>
                <w:lang w:val="en-US" w:eastAsia="zh-CN" w:bidi="ar"/>
              </w:rPr>
            </w:pPr>
            <w:r>
              <w:rPr>
                <w:rFonts w:hint="eastAsia" w:ascii="方正仿宋_GB2312" w:hAnsi="方正仿宋_GB2312" w:eastAsia="方正仿宋_GB2312" w:cs="方正仿宋_GB2312"/>
                <w:sz w:val="21"/>
                <w:szCs w:val="21"/>
              </w:rPr>
              <w:t>基金会</w:t>
            </w:r>
          </w:p>
        </w:tc>
        <w:tc>
          <w:tcPr>
            <w:tcW w:w="1113" w:type="dxa"/>
            <w:tcBorders>
              <w:top w:val="single" w:color="auto" w:sz="6" w:space="0"/>
              <w:left w:val="single" w:color="auto" w:sz="6" w:space="0"/>
              <w:bottom w:val="single" w:color="auto" w:sz="6" w:space="0"/>
              <w:right w:val="single" w:color="auto" w:sz="6" w:space="0"/>
            </w:tcBorders>
            <w:noWrap w:val="0"/>
            <w:vAlign w:val="center"/>
          </w:tcPr>
          <w:p w14:paraId="5743CA34">
            <w:pPr>
              <w:pStyle w:val="2"/>
              <w:widowControl/>
              <w:spacing w:before="225" w:beforeAutospacing="0" w:afterAutospacing="0" w:line="300" w:lineRule="atLeast"/>
              <w:ind w:left="0" w:leftChars="0" w:right="0" w:rightChars="0"/>
              <w:jc w:val="both"/>
              <w:textAlignment w:val="center"/>
              <w:rPr>
                <w:rFonts w:hint="eastAsia" w:ascii="方正仿宋_GB2312" w:hAnsi="方正仿宋_GB2312" w:eastAsia="方正仿宋_GB2312" w:cs="方正仿宋_GB2312"/>
                <w:kern w:val="0"/>
                <w:sz w:val="21"/>
                <w:szCs w:val="21"/>
                <w:lang w:val="en-US" w:eastAsia="zh-CN" w:bidi="ar"/>
              </w:rPr>
            </w:pPr>
            <w:r>
              <w:rPr>
                <w:rFonts w:hint="eastAsia" w:ascii="方正仿宋_GB2312" w:hAnsi="方正仿宋_GB2312" w:eastAsia="方正仿宋_GB2312" w:cs="方正仿宋_GB2312"/>
                <w:sz w:val="21"/>
                <w:szCs w:val="21"/>
              </w:rPr>
              <w:t>基金会不按照规定办理住所变更登记的行为</w:t>
            </w:r>
          </w:p>
        </w:tc>
        <w:tc>
          <w:tcPr>
            <w:tcW w:w="1410" w:type="dxa"/>
            <w:tcBorders>
              <w:top w:val="single" w:color="auto" w:sz="6" w:space="0"/>
              <w:left w:val="single" w:color="auto" w:sz="6" w:space="0"/>
              <w:bottom w:val="single" w:color="auto" w:sz="6" w:space="0"/>
              <w:right w:val="single" w:color="auto" w:sz="6" w:space="0"/>
            </w:tcBorders>
            <w:noWrap w:val="0"/>
            <w:vAlign w:val="center"/>
          </w:tcPr>
          <w:p w14:paraId="30DFD8ED">
            <w:pPr>
              <w:pStyle w:val="2"/>
              <w:widowControl/>
              <w:spacing w:before="225" w:beforeAutospacing="0" w:afterAutospacing="0" w:line="300" w:lineRule="atLeast"/>
              <w:ind w:left="0" w:leftChars="0" w:right="0" w:rightChars="0"/>
              <w:jc w:val="both"/>
              <w:textAlignment w:val="center"/>
              <w:rPr>
                <w:rFonts w:hint="eastAsia" w:ascii="方正仿宋_GB2312" w:hAnsi="方正仿宋_GB2312" w:eastAsia="方正仿宋_GB2312" w:cs="方正仿宋_GB2312"/>
                <w:kern w:val="0"/>
                <w:sz w:val="21"/>
                <w:szCs w:val="21"/>
                <w:lang w:val="en-US" w:eastAsia="zh-CN" w:bidi="ar"/>
              </w:rPr>
            </w:pPr>
            <w:r>
              <w:rPr>
                <w:rFonts w:hint="eastAsia" w:ascii="方正仿宋_GB2312" w:hAnsi="方正仿宋_GB2312" w:eastAsia="方正仿宋_GB2312" w:cs="方正仿宋_GB2312"/>
                <w:sz w:val="21"/>
                <w:szCs w:val="21"/>
              </w:rPr>
              <w:t>《基金会管理条例》第十一条第二款、第十五条第一款</w:t>
            </w:r>
          </w:p>
        </w:tc>
        <w:tc>
          <w:tcPr>
            <w:tcW w:w="1320" w:type="dxa"/>
            <w:tcBorders>
              <w:top w:val="single" w:color="auto" w:sz="6" w:space="0"/>
              <w:left w:val="single" w:color="auto" w:sz="6" w:space="0"/>
              <w:bottom w:val="single" w:color="auto" w:sz="6" w:space="0"/>
              <w:right w:val="single" w:color="auto" w:sz="6" w:space="0"/>
            </w:tcBorders>
            <w:noWrap w:val="0"/>
            <w:vAlign w:val="center"/>
          </w:tcPr>
          <w:p w14:paraId="737859DB">
            <w:pPr>
              <w:pStyle w:val="2"/>
              <w:widowControl/>
              <w:spacing w:before="225" w:beforeAutospacing="0" w:afterAutospacing="0" w:line="300" w:lineRule="atLeast"/>
              <w:ind w:left="0" w:leftChars="0" w:right="0" w:rightChars="0"/>
              <w:jc w:val="both"/>
              <w:textAlignment w:val="center"/>
              <w:rPr>
                <w:rFonts w:hint="eastAsia" w:ascii="方正仿宋_GB2312" w:hAnsi="方正仿宋_GB2312" w:eastAsia="方正仿宋_GB2312" w:cs="方正仿宋_GB2312"/>
                <w:kern w:val="0"/>
                <w:sz w:val="21"/>
                <w:szCs w:val="21"/>
                <w:lang w:val="en-US" w:eastAsia="zh-CN" w:bidi="ar"/>
              </w:rPr>
            </w:pPr>
            <w:r>
              <w:rPr>
                <w:rFonts w:hint="eastAsia" w:ascii="方正仿宋_GB2312" w:hAnsi="方正仿宋_GB2312" w:eastAsia="方正仿宋_GB2312" w:cs="方正仿宋_GB2312"/>
                <w:sz w:val="21"/>
                <w:szCs w:val="21"/>
              </w:rPr>
              <w:t>《基金会管理条例》第四十二条第一款第</w:t>
            </w:r>
            <w:r>
              <w:rPr>
                <w:rFonts w:hint="eastAsia" w:ascii="方正仿宋_GB2312" w:hAnsi="方正仿宋_GB2312" w:eastAsia="方正仿宋_GB2312" w:cs="方正仿宋_GB2312"/>
                <w:sz w:val="21"/>
                <w:szCs w:val="21"/>
                <w:lang w:eastAsia="zh-CN"/>
              </w:rPr>
              <w:t>（</w:t>
            </w:r>
            <w:r>
              <w:rPr>
                <w:rFonts w:hint="eastAsia" w:ascii="方正仿宋_GB2312" w:hAnsi="方正仿宋_GB2312" w:eastAsia="方正仿宋_GB2312" w:cs="方正仿宋_GB2312"/>
                <w:sz w:val="21"/>
                <w:szCs w:val="21"/>
              </w:rPr>
              <w:t>三</w:t>
            </w:r>
            <w:r>
              <w:rPr>
                <w:rFonts w:hint="eastAsia" w:ascii="方正仿宋_GB2312" w:hAnsi="方正仿宋_GB2312" w:eastAsia="方正仿宋_GB2312" w:cs="方正仿宋_GB2312"/>
                <w:sz w:val="21"/>
                <w:szCs w:val="21"/>
                <w:lang w:eastAsia="zh-CN"/>
              </w:rPr>
              <w:t>）</w:t>
            </w:r>
            <w:r>
              <w:rPr>
                <w:rFonts w:hint="eastAsia" w:ascii="方正仿宋_GB2312" w:hAnsi="方正仿宋_GB2312" w:eastAsia="方正仿宋_GB2312" w:cs="方正仿宋_GB2312"/>
                <w:sz w:val="21"/>
                <w:szCs w:val="21"/>
              </w:rPr>
              <w:t>项</w:t>
            </w:r>
          </w:p>
        </w:tc>
        <w:tc>
          <w:tcPr>
            <w:tcW w:w="2040" w:type="dxa"/>
            <w:tcBorders>
              <w:top w:val="single" w:color="auto" w:sz="6" w:space="0"/>
              <w:left w:val="single" w:color="auto" w:sz="6" w:space="0"/>
              <w:bottom w:val="single" w:color="auto" w:sz="6" w:space="0"/>
              <w:right w:val="single" w:color="auto" w:sz="6" w:space="0"/>
            </w:tcBorders>
            <w:noWrap w:val="0"/>
            <w:vAlign w:val="center"/>
          </w:tcPr>
          <w:p w14:paraId="657659D1">
            <w:pPr>
              <w:pStyle w:val="2"/>
              <w:widowControl/>
              <w:numPr>
                <w:ilvl w:val="0"/>
                <w:numId w:val="0"/>
              </w:numPr>
              <w:tabs>
                <w:tab w:val="left" w:pos="312"/>
              </w:tabs>
              <w:spacing w:before="0" w:beforeAutospacing="0" w:after="0" w:afterAutospacing="0" w:line="300" w:lineRule="atLeast"/>
              <w:jc w:val="both"/>
              <w:textAlignment w:val="center"/>
              <w:rPr>
                <w:rFonts w:hint="eastAsia" w:ascii="方正仿宋_GB2312" w:hAnsi="方正仿宋_GB2312" w:eastAsia="方正仿宋_GB2312" w:cs="方正仿宋_GB2312"/>
                <w:sz w:val="21"/>
                <w:szCs w:val="21"/>
                <w:lang w:val="en-US" w:eastAsia="zh-CN"/>
              </w:rPr>
            </w:pPr>
          </w:p>
          <w:p w14:paraId="02EB2EF7">
            <w:pPr>
              <w:pStyle w:val="2"/>
              <w:widowControl/>
              <w:numPr>
                <w:ilvl w:val="0"/>
                <w:numId w:val="0"/>
              </w:numPr>
              <w:tabs>
                <w:tab w:val="left" w:pos="312"/>
              </w:tabs>
              <w:spacing w:before="0" w:beforeAutospacing="0" w:after="0" w:afterAutospacing="0" w:line="300" w:lineRule="atLeast"/>
              <w:jc w:val="both"/>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val="en-US" w:eastAsia="zh-CN"/>
              </w:rPr>
              <w:t>1.</w:t>
            </w:r>
            <w:r>
              <w:rPr>
                <w:rFonts w:hint="eastAsia" w:ascii="方正仿宋_GB2312" w:hAnsi="方正仿宋_GB2312" w:eastAsia="方正仿宋_GB2312" w:cs="方正仿宋_GB2312"/>
                <w:sz w:val="21"/>
                <w:szCs w:val="21"/>
              </w:rPr>
              <w:t>违法行为轻微，未造成危害后果，主动整改或在民政部门责令改正期限内改正；</w:t>
            </w:r>
          </w:p>
          <w:p w14:paraId="573F60E8">
            <w:pPr>
              <w:pStyle w:val="2"/>
              <w:widowControl/>
              <w:numPr>
                <w:ilvl w:val="0"/>
                <w:numId w:val="0"/>
              </w:numPr>
              <w:spacing w:before="0" w:beforeAutospacing="0" w:after="0" w:afterAutospacing="0" w:line="300" w:lineRule="atLeast"/>
              <w:ind w:right="0" w:rightChars="0"/>
              <w:jc w:val="both"/>
              <w:textAlignment w:val="center"/>
              <w:rPr>
                <w:rFonts w:hint="eastAsia" w:ascii="方正仿宋_GB2312" w:hAnsi="方正仿宋_GB2312" w:eastAsia="方正仿宋_GB2312" w:cs="方正仿宋_GB2312"/>
                <w:sz w:val="21"/>
                <w:szCs w:val="21"/>
              </w:rPr>
            </w:pPr>
          </w:p>
          <w:p w14:paraId="023250FD">
            <w:pPr>
              <w:pStyle w:val="2"/>
              <w:widowControl/>
              <w:numPr>
                <w:ilvl w:val="0"/>
                <w:numId w:val="0"/>
              </w:numPr>
              <w:spacing w:before="0" w:beforeAutospacing="0" w:after="0" w:afterAutospacing="0" w:line="300" w:lineRule="atLeast"/>
              <w:ind w:right="0" w:rightChars="0"/>
              <w:jc w:val="both"/>
              <w:textAlignment w:val="center"/>
              <w:rPr>
                <w:rFonts w:hint="eastAsia" w:ascii="方正仿宋_GB2312" w:hAnsi="方正仿宋_GB2312" w:eastAsia="方正仿宋_GB2312" w:cs="方正仿宋_GB2312"/>
                <w:kern w:val="0"/>
                <w:sz w:val="21"/>
                <w:szCs w:val="21"/>
                <w:lang w:val="en-US" w:eastAsia="zh-CN" w:bidi="ar"/>
              </w:rPr>
            </w:pPr>
            <w:r>
              <w:rPr>
                <w:rFonts w:hint="eastAsia" w:ascii="方正仿宋_GB2312" w:hAnsi="方正仿宋_GB2312" w:eastAsia="方正仿宋_GB2312" w:cs="方正仿宋_GB2312"/>
                <w:sz w:val="21"/>
                <w:szCs w:val="21"/>
              </w:rPr>
              <w:t>2.初次违法，</w:t>
            </w:r>
            <w:r>
              <w:rPr>
                <w:rFonts w:hint="eastAsia" w:ascii="方正仿宋_GB2312" w:hAnsi="方正仿宋_GB2312" w:eastAsia="方正仿宋_GB2312" w:cs="方正仿宋_GB2312"/>
                <w:sz w:val="21"/>
                <w:szCs w:val="21"/>
                <w:lang w:val="en-US" w:eastAsia="zh-CN"/>
              </w:rPr>
              <w:t>即检查之日起前两年内无违反同一法律规定的查处记录，</w:t>
            </w:r>
            <w:r>
              <w:rPr>
                <w:rFonts w:hint="eastAsia" w:ascii="方正仿宋_GB2312" w:hAnsi="方正仿宋_GB2312" w:eastAsia="方正仿宋_GB2312" w:cs="方正仿宋_GB2312"/>
                <w:sz w:val="21"/>
                <w:szCs w:val="21"/>
              </w:rPr>
              <w:t>危害后果轻微，主动整改或在民政部门责令改正期限内改正。</w:t>
            </w:r>
          </w:p>
        </w:tc>
        <w:tc>
          <w:tcPr>
            <w:tcW w:w="963" w:type="dxa"/>
            <w:tcBorders>
              <w:top w:val="single" w:color="auto" w:sz="6" w:space="0"/>
              <w:left w:val="single" w:color="auto" w:sz="6" w:space="0"/>
              <w:bottom w:val="single" w:color="auto" w:sz="6" w:space="0"/>
              <w:right w:val="single" w:color="auto" w:sz="6" w:space="0"/>
            </w:tcBorders>
            <w:noWrap w:val="0"/>
            <w:vAlign w:val="center"/>
          </w:tcPr>
          <w:p w14:paraId="3B6BCF12">
            <w:pPr>
              <w:pStyle w:val="2"/>
              <w:widowControl/>
              <w:spacing w:before="225" w:beforeAutospacing="0" w:afterAutospacing="0" w:line="300" w:lineRule="atLeast"/>
              <w:ind w:left="0" w:leftChars="0" w:right="0" w:rightChars="0"/>
              <w:jc w:val="center"/>
              <w:textAlignment w:val="center"/>
              <w:rPr>
                <w:rFonts w:hint="eastAsia" w:ascii="方正仿宋_GB2312" w:hAnsi="方正仿宋_GB2312" w:eastAsia="方正仿宋_GB2312" w:cs="方正仿宋_GB2312"/>
                <w:kern w:val="0"/>
                <w:sz w:val="21"/>
                <w:szCs w:val="21"/>
                <w:lang w:val="en-US" w:eastAsia="zh-CN" w:bidi="ar"/>
              </w:rPr>
            </w:pPr>
            <w:r>
              <w:rPr>
                <w:rFonts w:hint="eastAsia" w:ascii="方正仿宋_GB2312" w:hAnsi="方正仿宋_GB2312" w:eastAsia="方正仿宋_GB2312" w:cs="方正仿宋_GB2312"/>
                <w:sz w:val="21"/>
                <w:szCs w:val="21"/>
              </w:rPr>
              <w:t>市级</w:t>
            </w:r>
          </w:p>
        </w:tc>
      </w:tr>
      <w:tr w14:paraId="7A5D5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0" w:hRule="atLeast"/>
          <w:jc w:val="center"/>
        </w:trPr>
        <w:tc>
          <w:tcPr>
            <w:tcW w:w="431" w:type="dxa"/>
            <w:tcBorders>
              <w:top w:val="single" w:color="auto" w:sz="6" w:space="0"/>
              <w:left w:val="single" w:color="auto" w:sz="6" w:space="0"/>
              <w:bottom w:val="single" w:color="auto" w:sz="6" w:space="0"/>
              <w:right w:val="single" w:color="auto" w:sz="6" w:space="0"/>
            </w:tcBorders>
            <w:noWrap w:val="0"/>
            <w:vAlign w:val="center"/>
          </w:tcPr>
          <w:p w14:paraId="27EB39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00" w:lineRule="atLeast"/>
              <w:ind w:left="0" w:leftChars="0" w:right="0" w:rightChars="0"/>
              <w:jc w:val="center"/>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val="en-US" w:eastAsia="zh-CN"/>
              </w:rPr>
              <w:t>4</w:t>
            </w:r>
          </w:p>
        </w:tc>
        <w:tc>
          <w:tcPr>
            <w:tcW w:w="657" w:type="dxa"/>
            <w:tcBorders>
              <w:top w:val="single" w:color="auto" w:sz="6" w:space="0"/>
              <w:left w:val="single" w:color="auto" w:sz="6" w:space="0"/>
              <w:bottom w:val="single" w:color="auto" w:sz="6" w:space="0"/>
              <w:right w:val="single" w:color="auto" w:sz="6" w:space="0"/>
            </w:tcBorders>
            <w:noWrap w:val="0"/>
            <w:vAlign w:val="center"/>
          </w:tcPr>
          <w:p w14:paraId="11C77F7C">
            <w:pPr>
              <w:pStyle w:val="2"/>
              <w:widowControl/>
              <w:spacing w:before="225" w:beforeAutospacing="0" w:afterAutospacing="0" w:line="300" w:lineRule="atLeast"/>
              <w:ind w:left="0" w:leftChars="0" w:right="0" w:rightChars="0"/>
              <w:jc w:val="center"/>
              <w:textAlignment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rPr>
              <w:t>志愿服务</w:t>
            </w:r>
          </w:p>
        </w:tc>
        <w:tc>
          <w:tcPr>
            <w:tcW w:w="1113" w:type="dxa"/>
            <w:tcBorders>
              <w:top w:val="single" w:color="auto" w:sz="6" w:space="0"/>
              <w:left w:val="single" w:color="auto" w:sz="6" w:space="0"/>
              <w:bottom w:val="single" w:color="auto" w:sz="6" w:space="0"/>
              <w:right w:val="single" w:color="auto" w:sz="6" w:space="0"/>
            </w:tcBorders>
            <w:noWrap w:val="0"/>
            <w:vAlign w:val="center"/>
          </w:tcPr>
          <w:p w14:paraId="3BDE8834">
            <w:pPr>
              <w:pStyle w:val="2"/>
              <w:widowControl/>
              <w:spacing w:before="0" w:beforeAutospacing="0" w:after="0" w:afterAutospacing="0" w:line="300" w:lineRule="atLeast"/>
              <w:ind w:left="0" w:leftChars="0" w:right="0" w:rightChars="0"/>
              <w:jc w:val="both"/>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志愿服务组织不依法记录志愿服务信息或者出具志愿服务记录证明的行为</w:t>
            </w:r>
          </w:p>
        </w:tc>
        <w:tc>
          <w:tcPr>
            <w:tcW w:w="1410" w:type="dxa"/>
            <w:tcBorders>
              <w:top w:val="single" w:color="auto" w:sz="6" w:space="0"/>
              <w:left w:val="single" w:color="auto" w:sz="6" w:space="0"/>
              <w:bottom w:val="single" w:color="auto" w:sz="6" w:space="0"/>
              <w:right w:val="single" w:color="auto" w:sz="6" w:space="0"/>
            </w:tcBorders>
            <w:noWrap w:val="0"/>
            <w:vAlign w:val="center"/>
          </w:tcPr>
          <w:p w14:paraId="67B8B80B">
            <w:pPr>
              <w:pStyle w:val="2"/>
              <w:widowControl/>
              <w:spacing w:before="225" w:beforeAutospacing="0" w:afterAutospacing="0" w:line="300" w:lineRule="atLeast"/>
              <w:ind w:left="0" w:leftChars="0" w:right="0" w:rightChars="0"/>
              <w:jc w:val="both"/>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《志愿服务条例》第十九条第一款、第二款</w:t>
            </w:r>
          </w:p>
        </w:tc>
        <w:tc>
          <w:tcPr>
            <w:tcW w:w="1320" w:type="dxa"/>
            <w:tcBorders>
              <w:top w:val="single" w:color="auto" w:sz="6" w:space="0"/>
              <w:left w:val="single" w:color="auto" w:sz="6" w:space="0"/>
              <w:bottom w:val="single" w:color="auto" w:sz="6" w:space="0"/>
              <w:right w:val="single" w:color="auto" w:sz="6" w:space="0"/>
            </w:tcBorders>
            <w:noWrap w:val="0"/>
            <w:vAlign w:val="center"/>
          </w:tcPr>
          <w:p w14:paraId="34C47662">
            <w:pPr>
              <w:pStyle w:val="2"/>
              <w:widowControl/>
              <w:spacing w:before="225" w:beforeAutospacing="0" w:afterAutospacing="0" w:line="300" w:lineRule="atLeast"/>
              <w:ind w:left="0" w:leftChars="0" w:right="0" w:rightChars="0"/>
              <w:jc w:val="both"/>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《志愿服务条例》第三十八条</w:t>
            </w:r>
          </w:p>
        </w:tc>
        <w:tc>
          <w:tcPr>
            <w:tcW w:w="2040" w:type="dxa"/>
            <w:tcBorders>
              <w:top w:val="single" w:color="auto" w:sz="6" w:space="0"/>
              <w:left w:val="single" w:color="auto" w:sz="6" w:space="0"/>
              <w:bottom w:val="single" w:color="auto" w:sz="6" w:space="0"/>
              <w:right w:val="single" w:color="auto" w:sz="6" w:space="0"/>
            </w:tcBorders>
            <w:noWrap w:val="0"/>
            <w:vAlign w:val="center"/>
          </w:tcPr>
          <w:p w14:paraId="2E5FFA21">
            <w:pPr>
              <w:pStyle w:val="2"/>
              <w:widowControl/>
              <w:spacing w:before="0" w:beforeAutospacing="0" w:after="0" w:afterAutospacing="0" w:line="300" w:lineRule="atLeast"/>
              <w:jc w:val="both"/>
              <w:textAlignment w:val="center"/>
              <w:rPr>
                <w:rFonts w:hint="eastAsia" w:ascii="方正仿宋_GB2312" w:hAnsi="方正仿宋_GB2312" w:eastAsia="方正仿宋_GB2312" w:cs="方正仿宋_GB2312"/>
                <w:sz w:val="21"/>
                <w:szCs w:val="21"/>
              </w:rPr>
            </w:pPr>
          </w:p>
          <w:p w14:paraId="1A5D507C">
            <w:pPr>
              <w:pStyle w:val="2"/>
              <w:widowControl/>
              <w:spacing w:before="0" w:beforeAutospacing="0" w:after="0" w:afterAutospacing="0" w:line="300" w:lineRule="atLeast"/>
              <w:jc w:val="both"/>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1.违法行为轻微，未造成危害后果，主动整改或在民政部门责令改正期限内改正；</w:t>
            </w:r>
          </w:p>
          <w:p w14:paraId="1B7BAFC9">
            <w:pPr>
              <w:pStyle w:val="2"/>
              <w:widowControl/>
              <w:spacing w:before="0" w:beforeAutospacing="0" w:after="0" w:afterAutospacing="0" w:line="300" w:lineRule="atLeast"/>
              <w:ind w:left="0" w:leftChars="0" w:right="0" w:rightChars="0"/>
              <w:jc w:val="both"/>
              <w:textAlignment w:val="center"/>
              <w:rPr>
                <w:rFonts w:hint="eastAsia" w:ascii="方正仿宋_GB2312" w:hAnsi="方正仿宋_GB2312" w:eastAsia="方正仿宋_GB2312" w:cs="方正仿宋_GB2312"/>
                <w:sz w:val="21"/>
                <w:szCs w:val="21"/>
              </w:rPr>
            </w:pPr>
          </w:p>
          <w:p w14:paraId="471D6961">
            <w:pPr>
              <w:pStyle w:val="2"/>
              <w:widowControl/>
              <w:spacing w:before="0" w:beforeAutospacing="0" w:after="0" w:afterAutospacing="0" w:line="300" w:lineRule="atLeast"/>
              <w:ind w:left="0" w:leftChars="0" w:right="0" w:rightChars="0"/>
              <w:jc w:val="both"/>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2.初次违法，</w:t>
            </w:r>
            <w:r>
              <w:rPr>
                <w:rFonts w:hint="eastAsia" w:ascii="方正仿宋_GB2312" w:hAnsi="方正仿宋_GB2312" w:eastAsia="方正仿宋_GB2312" w:cs="方正仿宋_GB2312"/>
                <w:sz w:val="21"/>
                <w:szCs w:val="21"/>
                <w:lang w:val="en-US" w:eastAsia="zh-CN"/>
              </w:rPr>
              <w:t>即检查之日起前两年内无违反同一法律规定的查处记录，</w:t>
            </w:r>
            <w:r>
              <w:rPr>
                <w:rFonts w:hint="eastAsia" w:ascii="方正仿宋_GB2312" w:hAnsi="方正仿宋_GB2312" w:eastAsia="方正仿宋_GB2312" w:cs="方正仿宋_GB2312"/>
                <w:sz w:val="21"/>
                <w:szCs w:val="21"/>
              </w:rPr>
              <w:t>危害后果轻微，主动整改或在民政部门责令改正期限内改正。</w:t>
            </w:r>
          </w:p>
        </w:tc>
        <w:tc>
          <w:tcPr>
            <w:tcW w:w="963" w:type="dxa"/>
            <w:tcBorders>
              <w:top w:val="single" w:color="auto" w:sz="6" w:space="0"/>
              <w:left w:val="single" w:color="auto" w:sz="6" w:space="0"/>
              <w:bottom w:val="single" w:color="auto" w:sz="6" w:space="0"/>
              <w:right w:val="single" w:color="auto" w:sz="6" w:space="0"/>
            </w:tcBorders>
            <w:noWrap w:val="0"/>
            <w:vAlign w:val="center"/>
          </w:tcPr>
          <w:p w14:paraId="166E3809">
            <w:pPr>
              <w:pStyle w:val="2"/>
              <w:widowControl/>
              <w:spacing w:before="225" w:beforeAutospacing="0" w:afterAutospacing="0" w:line="300" w:lineRule="atLeast"/>
              <w:ind w:left="0" w:leftChars="0" w:right="0" w:rightChars="0"/>
              <w:jc w:val="center"/>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市级、区级</w:t>
            </w:r>
          </w:p>
        </w:tc>
      </w:tr>
      <w:tr w14:paraId="5C501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51" w:hRule="atLeast"/>
          <w:jc w:val="center"/>
        </w:trPr>
        <w:tc>
          <w:tcPr>
            <w:tcW w:w="431" w:type="dxa"/>
            <w:tcBorders>
              <w:top w:val="single" w:color="auto" w:sz="6" w:space="0"/>
              <w:left w:val="single" w:color="auto" w:sz="6" w:space="0"/>
              <w:bottom w:val="single" w:color="auto" w:sz="6" w:space="0"/>
              <w:right w:val="single" w:color="auto" w:sz="6" w:space="0"/>
            </w:tcBorders>
            <w:noWrap w:val="0"/>
            <w:vAlign w:val="center"/>
          </w:tcPr>
          <w:p w14:paraId="1D2679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00" w:lineRule="atLeast"/>
              <w:ind w:left="0" w:leftChars="0" w:right="0" w:rightChars="0"/>
              <w:jc w:val="center"/>
              <w:textAlignment w:val="center"/>
              <w:rPr>
                <w:rFonts w:hint="eastAsia" w:ascii="方正仿宋_GB2312" w:hAnsi="方正仿宋_GB2312" w:eastAsia="方正仿宋_GB2312" w:cs="方正仿宋_GB2312"/>
                <w:kern w:val="0"/>
                <w:sz w:val="21"/>
                <w:szCs w:val="21"/>
                <w:lang w:val="en-US" w:eastAsia="zh-CN" w:bidi="ar"/>
              </w:rPr>
            </w:pPr>
            <w:r>
              <w:rPr>
                <w:rFonts w:hint="eastAsia" w:ascii="方正仿宋_GB2312" w:hAnsi="方正仿宋_GB2312" w:eastAsia="方正仿宋_GB2312" w:cs="方正仿宋_GB2312"/>
                <w:kern w:val="0"/>
                <w:sz w:val="21"/>
                <w:szCs w:val="21"/>
                <w:lang w:val="en-US" w:eastAsia="zh-CN" w:bidi="ar"/>
              </w:rPr>
              <w:t>5</w:t>
            </w:r>
          </w:p>
        </w:tc>
        <w:tc>
          <w:tcPr>
            <w:tcW w:w="657" w:type="dxa"/>
            <w:tcBorders>
              <w:top w:val="single" w:color="auto" w:sz="6" w:space="0"/>
              <w:left w:val="single" w:color="auto" w:sz="6" w:space="0"/>
              <w:bottom w:val="single" w:color="auto" w:sz="6" w:space="0"/>
              <w:right w:val="single" w:color="auto" w:sz="6" w:space="0"/>
            </w:tcBorders>
            <w:noWrap w:val="0"/>
            <w:vAlign w:val="center"/>
          </w:tcPr>
          <w:p w14:paraId="77BF10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00" w:lineRule="atLeast"/>
              <w:ind w:left="0" w:leftChars="0" w:right="0" w:rightChars="0"/>
              <w:jc w:val="center"/>
              <w:textAlignment w:val="center"/>
              <w:rPr>
                <w:rFonts w:hint="eastAsia" w:ascii="方正仿宋_GB2312" w:hAnsi="方正仿宋_GB2312" w:eastAsia="方正仿宋_GB2312" w:cs="方正仿宋_GB2312"/>
                <w:kern w:val="0"/>
                <w:sz w:val="21"/>
                <w:szCs w:val="21"/>
                <w:lang w:val="en-US" w:eastAsia="zh-CN" w:bidi="ar"/>
              </w:rPr>
            </w:pPr>
            <w:r>
              <w:rPr>
                <w:rFonts w:hint="eastAsia" w:ascii="方正仿宋_GB2312" w:hAnsi="方正仿宋_GB2312" w:eastAsia="方正仿宋_GB2312" w:cs="方正仿宋_GB2312"/>
                <w:sz w:val="21"/>
                <w:szCs w:val="21"/>
                <w:lang w:val="en-US" w:eastAsia="zh-CN"/>
              </w:rPr>
              <w:t>福利彩票代销点</w:t>
            </w:r>
          </w:p>
        </w:tc>
        <w:tc>
          <w:tcPr>
            <w:tcW w:w="1113" w:type="dxa"/>
            <w:tcBorders>
              <w:top w:val="single" w:color="auto" w:sz="6" w:space="0"/>
              <w:left w:val="single" w:color="auto" w:sz="6" w:space="0"/>
              <w:bottom w:val="single" w:color="auto" w:sz="6" w:space="0"/>
              <w:right w:val="single" w:color="auto" w:sz="6" w:space="0"/>
            </w:tcBorders>
            <w:noWrap w:val="0"/>
            <w:vAlign w:val="center"/>
          </w:tcPr>
          <w:p w14:paraId="691EE3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00" w:lineRule="atLeast"/>
              <w:ind w:left="0" w:leftChars="0" w:right="0" w:rightChars="0"/>
              <w:jc w:val="both"/>
              <w:textAlignment w:val="center"/>
              <w:rPr>
                <w:rFonts w:hint="eastAsia" w:ascii="方正仿宋_GB2312" w:hAnsi="方正仿宋_GB2312" w:eastAsia="方正仿宋_GB2312" w:cs="方正仿宋_GB2312"/>
                <w:kern w:val="0"/>
                <w:sz w:val="21"/>
                <w:szCs w:val="21"/>
                <w:lang w:val="en-US" w:eastAsia="zh-CN" w:bidi="ar"/>
              </w:rPr>
            </w:pPr>
            <w:r>
              <w:rPr>
                <w:rFonts w:hint="eastAsia" w:ascii="方正仿宋_GB2312" w:hAnsi="方正仿宋_GB2312" w:eastAsia="方正仿宋_GB2312" w:cs="方正仿宋_GB2312"/>
                <w:sz w:val="21"/>
                <w:szCs w:val="21"/>
              </w:rPr>
              <w:t>委托他人代销彩票</w:t>
            </w:r>
          </w:p>
        </w:tc>
        <w:tc>
          <w:tcPr>
            <w:tcW w:w="1410" w:type="dxa"/>
            <w:tcBorders>
              <w:top w:val="single" w:color="auto" w:sz="6" w:space="0"/>
              <w:left w:val="single" w:color="auto" w:sz="6" w:space="0"/>
              <w:bottom w:val="single" w:color="auto" w:sz="6" w:space="0"/>
              <w:right w:val="single" w:color="auto" w:sz="6" w:space="0"/>
            </w:tcBorders>
            <w:noWrap w:val="0"/>
            <w:vAlign w:val="center"/>
          </w:tcPr>
          <w:p w14:paraId="1EF249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00" w:lineRule="atLeast"/>
              <w:ind w:left="0" w:leftChars="0" w:right="0" w:rightChars="0"/>
              <w:jc w:val="both"/>
              <w:textAlignment w:val="center"/>
              <w:rPr>
                <w:rFonts w:hint="eastAsia" w:ascii="方正仿宋_GB2312" w:hAnsi="方正仿宋_GB2312" w:eastAsia="方正仿宋_GB2312" w:cs="方正仿宋_GB2312"/>
                <w:kern w:val="0"/>
                <w:sz w:val="21"/>
                <w:szCs w:val="21"/>
                <w:lang w:val="en-US" w:eastAsia="zh-CN" w:bidi="ar"/>
              </w:rPr>
            </w:pPr>
            <w:r>
              <w:rPr>
                <w:rFonts w:hint="eastAsia" w:ascii="方正仿宋_GB2312" w:hAnsi="方正仿宋_GB2312" w:eastAsia="方正仿宋_GB2312" w:cs="方正仿宋_GB2312"/>
                <w:sz w:val="21"/>
                <w:szCs w:val="21"/>
                <w:lang w:eastAsia="zh-CN"/>
              </w:rPr>
              <w:t>《</w:t>
            </w:r>
            <w:r>
              <w:rPr>
                <w:rFonts w:hint="eastAsia" w:ascii="方正仿宋_GB2312" w:hAnsi="方正仿宋_GB2312" w:eastAsia="方正仿宋_GB2312" w:cs="方正仿宋_GB2312"/>
                <w:sz w:val="21"/>
                <w:szCs w:val="21"/>
                <w:lang w:val="en-US" w:eastAsia="zh-CN"/>
              </w:rPr>
              <w:t>彩票管理条例</w:t>
            </w:r>
            <w:r>
              <w:rPr>
                <w:rFonts w:hint="eastAsia" w:ascii="方正仿宋_GB2312" w:hAnsi="方正仿宋_GB2312" w:eastAsia="方正仿宋_GB2312" w:cs="方正仿宋_GB2312"/>
                <w:sz w:val="21"/>
                <w:szCs w:val="21"/>
                <w:lang w:eastAsia="zh-CN"/>
              </w:rPr>
              <w:t>》</w:t>
            </w:r>
            <w:r>
              <w:rPr>
                <w:rFonts w:hint="eastAsia" w:ascii="方正仿宋_GB2312" w:hAnsi="方正仿宋_GB2312" w:eastAsia="方正仿宋_GB2312" w:cs="方正仿宋_GB2312"/>
                <w:sz w:val="21"/>
                <w:szCs w:val="21"/>
                <w:lang w:val="en-US" w:eastAsia="zh-CN"/>
              </w:rPr>
              <w:t>第四十一条第一款</w:t>
            </w:r>
          </w:p>
        </w:tc>
        <w:tc>
          <w:tcPr>
            <w:tcW w:w="1320" w:type="dxa"/>
            <w:tcBorders>
              <w:top w:val="single" w:color="auto" w:sz="6" w:space="0"/>
              <w:left w:val="single" w:color="auto" w:sz="6" w:space="0"/>
              <w:bottom w:val="single" w:color="auto" w:sz="6" w:space="0"/>
              <w:right w:val="single" w:color="auto" w:sz="6" w:space="0"/>
            </w:tcBorders>
            <w:noWrap w:val="0"/>
            <w:vAlign w:val="center"/>
          </w:tcPr>
          <w:p w14:paraId="2DB26A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00" w:lineRule="atLeast"/>
              <w:ind w:left="0" w:leftChars="0" w:right="0" w:rightChars="0"/>
              <w:jc w:val="both"/>
              <w:textAlignment w:val="center"/>
              <w:rPr>
                <w:rFonts w:hint="eastAsia" w:ascii="方正仿宋_GB2312" w:hAnsi="方正仿宋_GB2312" w:eastAsia="方正仿宋_GB2312" w:cs="方正仿宋_GB2312"/>
                <w:kern w:val="0"/>
                <w:sz w:val="21"/>
                <w:szCs w:val="21"/>
                <w:lang w:val="en-US" w:eastAsia="zh-CN" w:bidi="ar"/>
              </w:rPr>
            </w:pPr>
            <w:r>
              <w:rPr>
                <w:rFonts w:hint="eastAsia" w:ascii="方正仿宋_GB2312" w:hAnsi="方正仿宋_GB2312" w:eastAsia="方正仿宋_GB2312" w:cs="方正仿宋_GB2312"/>
                <w:sz w:val="21"/>
                <w:szCs w:val="21"/>
                <w:lang w:eastAsia="zh-CN"/>
              </w:rPr>
              <w:t>《</w:t>
            </w:r>
            <w:r>
              <w:rPr>
                <w:rFonts w:hint="eastAsia" w:ascii="方正仿宋_GB2312" w:hAnsi="方正仿宋_GB2312" w:eastAsia="方正仿宋_GB2312" w:cs="方正仿宋_GB2312"/>
                <w:sz w:val="21"/>
                <w:szCs w:val="21"/>
                <w:lang w:val="en-US" w:eastAsia="zh-CN"/>
              </w:rPr>
              <w:t>彩票管理条例</w:t>
            </w:r>
            <w:r>
              <w:rPr>
                <w:rFonts w:hint="eastAsia" w:ascii="方正仿宋_GB2312" w:hAnsi="方正仿宋_GB2312" w:eastAsia="方正仿宋_GB2312" w:cs="方正仿宋_GB2312"/>
                <w:sz w:val="21"/>
                <w:szCs w:val="21"/>
                <w:lang w:eastAsia="zh-CN"/>
              </w:rPr>
              <w:t>》</w:t>
            </w:r>
            <w:r>
              <w:rPr>
                <w:rFonts w:hint="eastAsia" w:ascii="方正仿宋_GB2312" w:hAnsi="方正仿宋_GB2312" w:eastAsia="方正仿宋_GB2312" w:cs="方正仿宋_GB2312"/>
                <w:sz w:val="21"/>
                <w:szCs w:val="21"/>
                <w:lang w:val="en-US" w:eastAsia="zh-CN"/>
              </w:rPr>
              <w:t>第四十一条第一款</w:t>
            </w:r>
          </w:p>
        </w:tc>
        <w:tc>
          <w:tcPr>
            <w:tcW w:w="2040" w:type="dxa"/>
            <w:tcBorders>
              <w:top w:val="single" w:color="auto" w:sz="6" w:space="0"/>
              <w:left w:val="single" w:color="auto" w:sz="6" w:space="0"/>
              <w:bottom w:val="single" w:color="auto" w:sz="6" w:space="0"/>
              <w:right w:val="single" w:color="auto" w:sz="6" w:space="0"/>
            </w:tcBorders>
            <w:noWrap w:val="0"/>
            <w:vAlign w:val="center"/>
          </w:tcPr>
          <w:p w14:paraId="729A3BD9">
            <w:pPr>
              <w:pStyle w:val="2"/>
              <w:widowControl/>
              <w:spacing w:before="0" w:beforeAutospacing="0" w:after="0" w:afterAutospacing="0" w:line="300" w:lineRule="atLeast"/>
              <w:jc w:val="both"/>
              <w:textAlignment w:val="center"/>
              <w:rPr>
                <w:rFonts w:hint="eastAsia" w:ascii="方正仿宋_GB2312" w:hAnsi="方正仿宋_GB2312" w:eastAsia="方正仿宋_GB2312" w:cs="方正仿宋_GB2312"/>
                <w:sz w:val="21"/>
                <w:szCs w:val="21"/>
                <w:lang w:val="en-US" w:eastAsia="zh-CN"/>
              </w:rPr>
            </w:pPr>
          </w:p>
          <w:p w14:paraId="26BBFDC4">
            <w:pPr>
              <w:pStyle w:val="2"/>
              <w:widowControl/>
              <w:spacing w:before="0" w:beforeAutospacing="0" w:after="0" w:afterAutospacing="0" w:line="300" w:lineRule="atLeast"/>
              <w:jc w:val="both"/>
              <w:textAlignment w:val="center"/>
              <w:rPr>
                <w:rFonts w:hint="eastAsia" w:ascii="方正仿宋_GB2312" w:hAnsi="方正仿宋_GB2312" w:eastAsia="方正仿宋_GB2312" w:cs="方正仿宋_GB2312"/>
                <w:sz w:val="21"/>
                <w:szCs w:val="21"/>
                <w:lang w:val="en-US" w:eastAsia="zh-CN"/>
              </w:rPr>
            </w:pPr>
            <w:r>
              <w:rPr>
                <w:rFonts w:hint="eastAsia" w:ascii="方正仿宋_GB2312" w:hAnsi="方正仿宋_GB2312" w:eastAsia="方正仿宋_GB2312" w:cs="方正仿宋_GB2312"/>
                <w:sz w:val="21"/>
                <w:szCs w:val="21"/>
                <w:lang w:val="en-US" w:eastAsia="zh-CN"/>
              </w:rPr>
              <w:t>1.</w:t>
            </w:r>
            <w:r>
              <w:rPr>
                <w:rFonts w:hint="eastAsia" w:ascii="方正仿宋_GB2312" w:hAnsi="方正仿宋_GB2312" w:eastAsia="方正仿宋_GB2312" w:cs="方正仿宋_GB2312"/>
                <w:sz w:val="21"/>
                <w:szCs w:val="21"/>
              </w:rPr>
              <w:t>违法行为轻微，未造成危害后果，主动整改或在民政部门责令改正期限内改正；</w:t>
            </w:r>
          </w:p>
          <w:p w14:paraId="55FED0E2">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both"/>
              <w:textAlignment w:val="center"/>
              <w:rPr>
                <w:rFonts w:hint="eastAsia" w:ascii="方正仿宋_GB2312" w:hAnsi="方正仿宋_GB2312" w:eastAsia="方正仿宋_GB2312" w:cs="方正仿宋_GB2312"/>
                <w:sz w:val="21"/>
                <w:szCs w:val="21"/>
                <w:lang w:val="en-US" w:eastAsia="zh-CN"/>
              </w:rPr>
            </w:pPr>
          </w:p>
          <w:p w14:paraId="67E34B75">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both"/>
              <w:textAlignment w:val="center"/>
              <w:rPr>
                <w:rFonts w:hint="eastAsia" w:ascii="方正仿宋_GB2312" w:hAnsi="方正仿宋_GB2312" w:eastAsia="方正仿宋_GB2312" w:cs="方正仿宋_GB2312"/>
                <w:kern w:val="0"/>
                <w:sz w:val="21"/>
                <w:szCs w:val="21"/>
                <w:lang w:val="en-US" w:eastAsia="zh-CN" w:bidi="ar"/>
              </w:rPr>
            </w:pPr>
            <w:r>
              <w:rPr>
                <w:rFonts w:hint="eastAsia" w:ascii="方正仿宋_GB2312" w:hAnsi="方正仿宋_GB2312" w:eastAsia="方正仿宋_GB2312" w:cs="方正仿宋_GB2312"/>
                <w:sz w:val="21"/>
                <w:szCs w:val="21"/>
                <w:lang w:val="en-US" w:eastAsia="zh-CN"/>
              </w:rPr>
              <w:t>2.初次违法，即检查之日起前两年内无违反同一法律规定的查处记录，及时改正或在民政部门责令改正期限内改正，危害后果轻微或没有造成危害后果。</w:t>
            </w:r>
          </w:p>
        </w:tc>
        <w:tc>
          <w:tcPr>
            <w:tcW w:w="963" w:type="dxa"/>
            <w:tcBorders>
              <w:top w:val="single" w:color="auto" w:sz="6" w:space="0"/>
              <w:left w:val="single" w:color="auto" w:sz="6" w:space="0"/>
              <w:bottom w:val="single" w:color="auto" w:sz="6" w:space="0"/>
              <w:right w:val="single" w:color="auto" w:sz="6" w:space="0"/>
            </w:tcBorders>
            <w:noWrap w:val="0"/>
            <w:vAlign w:val="center"/>
          </w:tcPr>
          <w:p w14:paraId="110C5E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00" w:lineRule="atLeast"/>
              <w:ind w:left="0" w:leftChars="0" w:right="0" w:rightChars="0"/>
              <w:jc w:val="center"/>
              <w:textAlignment w:val="center"/>
              <w:rPr>
                <w:rFonts w:hint="eastAsia" w:ascii="方正仿宋_GB2312" w:hAnsi="方正仿宋_GB2312" w:eastAsia="方正仿宋_GB2312" w:cs="方正仿宋_GB2312"/>
                <w:kern w:val="0"/>
                <w:sz w:val="21"/>
                <w:szCs w:val="21"/>
                <w:lang w:val="en-US" w:eastAsia="zh-CN" w:bidi="ar"/>
              </w:rPr>
            </w:pPr>
            <w:r>
              <w:rPr>
                <w:rFonts w:hint="eastAsia" w:ascii="方正仿宋_GB2312" w:hAnsi="方正仿宋_GB2312" w:eastAsia="方正仿宋_GB2312" w:cs="方正仿宋_GB2312"/>
                <w:kern w:val="0"/>
                <w:sz w:val="21"/>
                <w:szCs w:val="21"/>
                <w:lang w:val="en-US" w:eastAsia="zh-CN" w:bidi="ar"/>
              </w:rPr>
              <w:t>市级</w:t>
            </w:r>
          </w:p>
        </w:tc>
      </w:tr>
      <w:tr w14:paraId="41127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0" w:hRule="atLeast"/>
          <w:jc w:val="center"/>
        </w:trPr>
        <w:tc>
          <w:tcPr>
            <w:tcW w:w="431" w:type="dxa"/>
            <w:tcBorders>
              <w:top w:val="single" w:color="auto" w:sz="6" w:space="0"/>
              <w:left w:val="single" w:color="auto" w:sz="6" w:space="0"/>
              <w:bottom w:val="single" w:color="auto" w:sz="6" w:space="0"/>
              <w:right w:val="single" w:color="auto" w:sz="6" w:space="0"/>
            </w:tcBorders>
            <w:noWrap w:val="0"/>
            <w:vAlign w:val="center"/>
          </w:tcPr>
          <w:p w14:paraId="72A628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00" w:lineRule="atLeast"/>
              <w:ind w:left="0" w:leftChars="0" w:right="0" w:rightChars="0"/>
              <w:jc w:val="center"/>
              <w:textAlignment w:val="center"/>
              <w:rPr>
                <w:rFonts w:hint="eastAsia" w:ascii="方正仿宋_GB2312" w:hAnsi="方正仿宋_GB2312" w:eastAsia="方正仿宋_GB2312" w:cs="方正仿宋_GB2312"/>
                <w:kern w:val="0"/>
                <w:sz w:val="21"/>
                <w:szCs w:val="21"/>
                <w:lang w:val="en-US" w:eastAsia="zh-CN" w:bidi="ar"/>
              </w:rPr>
            </w:pPr>
            <w:r>
              <w:rPr>
                <w:rFonts w:hint="eastAsia" w:ascii="方正仿宋_GB2312" w:hAnsi="方正仿宋_GB2312" w:eastAsia="方正仿宋_GB2312" w:cs="方正仿宋_GB2312"/>
                <w:kern w:val="0"/>
                <w:sz w:val="21"/>
                <w:szCs w:val="21"/>
                <w:lang w:val="en-US" w:eastAsia="zh-CN" w:bidi="ar"/>
              </w:rPr>
              <w:t>6</w:t>
            </w:r>
          </w:p>
        </w:tc>
        <w:tc>
          <w:tcPr>
            <w:tcW w:w="657" w:type="dxa"/>
            <w:tcBorders>
              <w:top w:val="single" w:color="auto" w:sz="6" w:space="0"/>
              <w:left w:val="single" w:color="auto" w:sz="6" w:space="0"/>
              <w:bottom w:val="single" w:color="auto" w:sz="6" w:space="0"/>
              <w:right w:val="single" w:color="auto" w:sz="6" w:space="0"/>
            </w:tcBorders>
            <w:noWrap w:val="0"/>
            <w:vAlign w:val="center"/>
          </w:tcPr>
          <w:p w14:paraId="185352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00" w:lineRule="atLeast"/>
              <w:ind w:left="0" w:leftChars="0" w:right="0" w:rightChars="0"/>
              <w:jc w:val="center"/>
              <w:textAlignment w:val="center"/>
              <w:rPr>
                <w:rFonts w:hint="eastAsia" w:ascii="方正仿宋_GB2312" w:hAnsi="方正仿宋_GB2312" w:eastAsia="方正仿宋_GB2312" w:cs="方正仿宋_GB2312"/>
                <w:kern w:val="0"/>
                <w:sz w:val="21"/>
                <w:szCs w:val="21"/>
                <w:lang w:val="en-US" w:eastAsia="zh-CN" w:bidi="ar"/>
              </w:rPr>
            </w:pPr>
            <w:r>
              <w:rPr>
                <w:rFonts w:hint="eastAsia" w:ascii="方正仿宋_GB2312" w:hAnsi="方正仿宋_GB2312" w:eastAsia="方正仿宋_GB2312" w:cs="方正仿宋_GB2312"/>
                <w:sz w:val="21"/>
                <w:szCs w:val="21"/>
                <w:lang w:val="en-US" w:eastAsia="zh-CN"/>
              </w:rPr>
              <w:t>行政区划</w:t>
            </w:r>
          </w:p>
        </w:tc>
        <w:tc>
          <w:tcPr>
            <w:tcW w:w="1113" w:type="dxa"/>
            <w:tcBorders>
              <w:top w:val="single" w:color="auto" w:sz="6" w:space="0"/>
              <w:left w:val="single" w:color="auto" w:sz="6" w:space="0"/>
              <w:bottom w:val="single" w:color="auto" w:sz="6" w:space="0"/>
              <w:right w:val="single" w:color="auto" w:sz="6" w:space="0"/>
            </w:tcBorders>
            <w:noWrap w:val="0"/>
            <w:vAlign w:val="center"/>
          </w:tcPr>
          <w:p w14:paraId="4CDAA3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00" w:lineRule="atLeast"/>
              <w:ind w:left="0" w:leftChars="0" w:right="0" w:rightChars="0"/>
              <w:jc w:val="both"/>
              <w:textAlignment w:val="center"/>
              <w:rPr>
                <w:rFonts w:hint="eastAsia" w:ascii="方正仿宋_GB2312" w:hAnsi="方正仿宋_GB2312" w:eastAsia="方正仿宋_GB2312" w:cs="方正仿宋_GB2312"/>
                <w:kern w:val="0"/>
                <w:sz w:val="21"/>
                <w:szCs w:val="21"/>
                <w:lang w:val="en-US" w:eastAsia="zh-CN" w:bidi="ar"/>
              </w:rPr>
            </w:pPr>
            <w:r>
              <w:rPr>
                <w:rFonts w:hint="eastAsia" w:ascii="方正仿宋_GB2312" w:hAnsi="方正仿宋_GB2312" w:eastAsia="方正仿宋_GB2312" w:cs="方正仿宋_GB2312"/>
                <w:sz w:val="21"/>
                <w:szCs w:val="21"/>
              </w:rPr>
              <w:t>故意损毁或者擅自移动界桩或者其他行政区域界线标志物的</w:t>
            </w:r>
          </w:p>
        </w:tc>
        <w:tc>
          <w:tcPr>
            <w:tcW w:w="1410" w:type="dxa"/>
            <w:tcBorders>
              <w:top w:val="single" w:color="auto" w:sz="6" w:space="0"/>
              <w:left w:val="single" w:color="auto" w:sz="6" w:space="0"/>
              <w:bottom w:val="single" w:color="auto" w:sz="6" w:space="0"/>
              <w:right w:val="single" w:color="auto" w:sz="6" w:space="0"/>
            </w:tcBorders>
            <w:noWrap w:val="0"/>
            <w:vAlign w:val="center"/>
          </w:tcPr>
          <w:p w14:paraId="7DA7B9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00" w:lineRule="atLeast"/>
              <w:ind w:left="0" w:leftChars="0" w:right="0" w:rightChars="0"/>
              <w:jc w:val="both"/>
              <w:textAlignment w:val="center"/>
              <w:rPr>
                <w:rFonts w:hint="eastAsia" w:ascii="方正仿宋_GB2312" w:hAnsi="方正仿宋_GB2312" w:eastAsia="方正仿宋_GB2312" w:cs="方正仿宋_GB2312"/>
                <w:kern w:val="0"/>
                <w:sz w:val="21"/>
                <w:szCs w:val="21"/>
                <w:lang w:val="en-US" w:eastAsia="zh-CN" w:bidi="ar"/>
              </w:rPr>
            </w:pPr>
            <w:r>
              <w:rPr>
                <w:rFonts w:hint="eastAsia" w:ascii="方正仿宋_GB2312" w:hAnsi="方正仿宋_GB2312" w:eastAsia="方正仿宋_GB2312" w:cs="方正仿宋_GB2312"/>
                <w:sz w:val="21"/>
                <w:szCs w:val="21"/>
              </w:rPr>
              <w:t>《行政区域界线管理条例》第十</w:t>
            </w:r>
            <w:r>
              <w:rPr>
                <w:rFonts w:hint="eastAsia" w:ascii="方正仿宋_GB2312" w:hAnsi="方正仿宋_GB2312" w:eastAsia="方正仿宋_GB2312" w:cs="方正仿宋_GB2312"/>
                <w:sz w:val="21"/>
                <w:szCs w:val="21"/>
                <w:lang w:val="en-US" w:eastAsia="zh-CN"/>
              </w:rPr>
              <w:t>七</w:t>
            </w:r>
            <w:r>
              <w:rPr>
                <w:rFonts w:hint="eastAsia" w:ascii="方正仿宋_GB2312" w:hAnsi="方正仿宋_GB2312" w:eastAsia="方正仿宋_GB2312" w:cs="方正仿宋_GB2312"/>
                <w:sz w:val="21"/>
                <w:szCs w:val="21"/>
              </w:rPr>
              <w:t>条</w:t>
            </w:r>
          </w:p>
        </w:tc>
        <w:tc>
          <w:tcPr>
            <w:tcW w:w="1320" w:type="dxa"/>
            <w:tcBorders>
              <w:top w:val="single" w:color="auto" w:sz="6" w:space="0"/>
              <w:left w:val="single" w:color="auto" w:sz="6" w:space="0"/>
              <w:bottom w:val="single" w:color="auto" w:sz="6" w:space="0"/>
              <w:right w:val="single" w:color="auto" w:sz="6" w:space="0"/>
            </w:tcBorders>
            <w:noWrap w:val="0"/>
            <w:vAlign w:val="center"/>
          </w:tcPr>
          <w:p w14:paraId="6214E9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00" w:lineRule="atLeast"/>
              <w:ind w:left="0" w:leftChars="0" w:right="0" w:rightChars="0"/>
              <w:jc w:val="both"/>
              <w:textAlignment w:val="center"/>
              <w:rPr>
                <w:rFonts w:hint="eastAsia" w:ascii="方正仿宋_GB2312" w:hAnsi="方正仿宋_GB2312" w:eastAsia="方正仿宋_GB2312" w:cs="方正仿宋_GB2312"/>
                <w:kern w:val="0"/>
                <w:sz w:val="21"/>
                <w:szCs w:val="21"/>
                <w:lang w:val="en-US" w:eastAsia="zh-CN" w:bidi="ar"/>
              </w:rPr>
            </w:pPr>
            <w:r>
              <w:rPr>
                <w:rFonts w:hint="eastAsia" w:ascii="方正仿宋_GB2312" w:hAnsi="方正仿宋_GB2312" w:eastAsia="方正仿宋_GB2312" w:cs="方正仿宋_GB2312"/>
                <w:sz w:val="21"/>
                <w:szCs w:val="21"/>
              </w:rPr>
              <w:t>《行政区域界线管理条例》第十</w:t>
            </w:r>
            <w:r>
              <w:rPr>
                <w:rFonts w:hint="eastAsia" w:ascii="方正仿宋_GB2312" w:hAnsi="方正仿宋_GB2312" w:eastAsia="方正仿宋_GB2312" w:cs="方正仿宋_GB2312"/>
                <w:sz w:val="21"/>
                <w:szCs w:val="21"/>
                <w:lang w:val="en-US" w:eastAsia="zh-CN"/>
              </w:rPr>
              <w:t>七</w:t>
            </w:r>
            <w:r>
              <w:rPr>
                <w:rFonts w:hint="eastAsia" w:ascii="方正仿宋_GB2312" w:hAnsi="方正仿宋_GB2312" w:eastAsia="方正仿宋_GB2312" w:cs="方正仿宋_GB2312"/>
                <w:sz w:val="21"/>
                <w:szCs w:val="21"/>
              </w:rPr>
              <w:t>条</w:t>
            </w:r>
          </w:p>
        </w:tc>
        <w:tc>
          <w:tcPr>
            <w:tcW w:w="2040" w:type="dxa"/>
            <w:tcBorders>
              <w:top w:val="single" w:color="auto" w:sz="6" w:space="0"/>
              <w:left w:val="single" w:color="auto" w:sz="6" w:space="0"/>
              <w:bottom w:val="single" w:color="auto" w:sz="6" w:space="0"/>
              <w:right w:val="single" w:color="auto" w:sz="6" w:space="0"/>
            </w:tcBorders>
            <w:noWrap w:val="0"/>
            <w:vAlign w:val="center"/>
          </w:tcPr>
          <w:p w14:paraId="116E79BA">
            <w:pPr>
              <w:pStyle w:val="2"/>
              <w:widowControl/>
              <w:spacing w:before="0" w:beforeAutospacing="0" w:after="0" w:afterAutospacing="0" w:line="300" w:lineRule="atLeast"/>
              <w:jc w:val="both"/>
              <w:textAlignment w:val="center"/>
              <w:rPr>
                <w:rFonts w:hint="eastAsia" w:ascii="方正仿宋_GB2312" w:hAnsi="方正仿宋_GB2312" w:eastAsia="方正仿宋_GB2312" w:cs="方正仿宋_GB2312"/>
                <w:sz w:val="21"/>
                <w:szCs w:val="21"/>
                <w:lang w:val="en-US" w:eastAsia="zh-CN"/>
              </w:rPr>
            </w:pPr>
          </w:p>
          <w:p w14:paraId="0D78FEAF">
            <w:pPr>
              <w:pStyle w:val="2"/>
              <w:widowControl/>
              <w:spacing w:before="0" w:beforeAutospacing="0" w:after="0" w:afterAutospacing="0" w:line="300" w:lineRule="atLeast"/>
              <w:jc w:val="both"/>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lang w:val="en-US" w:eastAsia="zh-CN"/>
              </w:rPr>
              <w:t>1.</w:t>
            </w:r>
            <w:r>
              <w:rPr>
                <w:rFonts w:hint="eastAsia" w:ascii="方正仿宋_GB2312" w:hAnsi="方正仿宋_GB2312" w:eastAsia="方正仿宋_GB2312" w:cs="方正仿宋_GB2312"/>
                <w:sz w:val="21"/>
                <w:szCs w:val="21"/>
              </w:rPr>
              <w:t>违法行为轻微，未造成危害后果，主动整改或在民政部门责令改正期限内改正；</w:t>
            </w:r>
          </w:p>
          <w:p w14:paraId="5CA3FE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jc w:val="both"/>
              <w:textAlignment w:val="center"/>
              <w:rPr>
                <w:rFonts w:hint="eastAsia" w:ascii="方正仿宋_GB2312" w:hAnsi="方正仿宋_GB2312" w:eastAsia="方正仿宋_GB2312" w:cs="方正仿宋_GB2312"/>
                <w:kern w:val="0"/>
                <w:sz w:val="21"/>
                <w:szCs w:val="21"/>
                <w:lang w:val="en-US" w:eastAsia="zh-CN" w:bidi="ar"/>
              </w:rPr>
            </w:pPr>
            <w:r>
              <w:rPr>
                <w:rFonts w:hint="eastAsia" w:ascii="方正仿宋_GB2312" w:hAnsi="方正仿宋_GB2312" w:eastAsia="方正仿宋_GB2312" w:cs="方正仿宋_GB2312"/>
                <w:sz w:val="21"/>
                <w:szCs w:val="21"/>
                <w:lang w:val="en-US" w:eastAsia="zh-CN"/>
              </w:rPr>
              <w:t>2.初次违法，即检查之日起前两年内无违反同一法律规定的查处记录，及时改正或在民政部门责令改正期限内改正，危害后果轻微或没有造成危害后果，且没有违法所得。</w:t>
            </w:r>
          </w:p>
        </w:tc>
        <w:tc>
          <w:tcPr>
            <w:tcW w:w="963" w:type="dxa"/>
            <w:tcBorders>
              <w:top w:val="single" w:color="auto" w:sz="6" w:space="0"/>
              <w:left w:val="single" w:color="auto" w:sz="6" w:space="0"/>
              <w:bottom w:val="single" w:color="auto" w:sz="6" w:space="0"/>
              <w:right w:val="single" w:color="auto" w:sz="6" w:space="0"/>
            </w:tcBorders>
            <w:noWrap w:val="0"/>
            <w:vAlign w:val="center"/>
          </w:tcPr>
          <w:p w14:paraId="67044E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00" w:lineRule="atLeast"/>
              <w:ind w:left="0" w:leftChars="0" w:right="0" w:rightChars="0"/>
              <w:jc w:val="center"/>
              <w:textAlignment w:val="center"/>
              <w:rPr>
                <w:rFonts w:hint="eastAsia" w:ascii="方正仿宋_GB2312" w:hAnsi="方正仿宋_GB2312" w:eastAsia="方正仿宋_GB2312" w:cs="方正仿宋_GB2312"/>
                <w:kern w:val="0"/>
                <w:sz w:val="21"/>
                <w:szCs w:val="21"/>
                <w:lang w:val="en-US" w:eastAsia="zh-CN" w:bidi="ar"/>
              </w:rPr>
            </w:pPr>
            <w:r>
              <w:rPr>
                <w:rFonts w:hint="eastAsia" w:ascii="方正仿宋_GB2312" w:hAnsi="方正仿宋_GB2312" w:eastAsia="方正仿宋_GB2312" w:cs="方正仿宋_GB2312"/>
                <w:sz w:val="21"/>
                <w:szCs w:val="21"/>
              </w:rPr>
              <w:t>市级、区级</w:t>
            </w:r>
          </w:p>
        </w:tc>
      </w:tr>
      <w:tr w14:paraId="1790C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30" w:hRule="atLeast"/>
          <w:jc w:val="center"/>
        </w:trPr>
        <w:tc>
          <w:tcPr>
            <w:tcW w:w="431" w:type="dxa"/>
            <w:tcBorders>
              <w:top w:val="single" w:color="auto" w:sz="6" w:space="0"/>
              <w:left w:val="single" w:color="auto" w:sz="6" w:space="0"/>
              <w:bottom w:val="single" w:color="auto" w:sz="6" w:space="0"/>
              <w:right w:val="single" w:color="auto" w:sz="6" w:space="0"/>
            </w:tcBorders>
            <w:noWrap w:val="0"/>
            <w:vAlign w:val="center"/>
          </w:tcPr>
          <w:p w14:paraId="110126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00" w:lineRule="atLeast"/>
              <w:ind w:left="0" w:leftChars="0" w:right="0" w:rightChars="0"/>
              <w:jc w:val="center"/>
              <w:textAlignment w:val="center"/>
              <w:rPr>
                <w:rFonts w:hint="eastAsia" w:ascii="方正仿宋_GB2312" w:hAnsi="方正仿宋_GB2312" w:eastAsia="方正仿宋_GB2312" w:cs="方正仿宋_GB2312"/>
                <w:kern w:val="0"/>
                <w:sz w:val="21"/>
                <w:szCs w:val="21"/>
                <w:lang w:val="en-US" w:eastAsia="zh-CN" w:bidi="ar"/>
              </w:rPr>
            </w:pPr>
            <w:r>
              <w:rPr>
                <w:rFonts w:hint="eastAsia" w:ascii="方正仿宋_GB2312" w:hAnsi="方正仿宋_GB2312" w:eastAsia="方正仿宋_GB2312" w:cs="方正仿宋_GB2312"/>
                <w:kern w:val="0"/>
                <w:sz w:val="21"/>
                <w:szCs w:val="21"/>
                <w:lang w:val="en-US" w:eastAsia="zh-CN" w:bidi="ar"/>
              </w:rPr>
              <w:t>7</w:t>
            </w:r>
          </w:p>
        </w:tc>
        <w:tc>
          <w:tcPr>
            <w:tcW w:w="657" w:type="dxa"/>
            <w:tcBorders>
              <w:top w:val="single" w:color="auto" w:sz="6" w:space="0"/>
              <w:left w:val="single" w:color="auto" w:sz="6" w:space="0"/>
              <w:bottom w:val="single" w:color="auto" w:sz="6" w:space="0"/>
              <w:right w:val="single" w:color="auto" w:sz="6" w:space="0"/>
            </w:tcBorders>
            <w:noWrap w:val="0"/>
            <w:vAlign w:val="center"/>
          </w:tcPr>
          <w:p w14:paraId="765240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00" w:lineRule="atLeast"/>
              <w:ind w:left="0" w:leftChars="0" w:right="0" w:rightChars="0"/>
              <w:jc w:val="center"/>
              <w:textAlignment w:val="center"/>
              <w:rPr>
                <w:rFonts w:hint="eastAsia" w:ascii="方正仿宋_GB2312" w:hAnsi="方正仿宋_GB2312" w:eastAsia="方正仿宋_GB2312" w:cs="方正仿宋_GB2312"/>
                <w:kern w:val="0"/>
                <w:sz w:val="21"/>
                <w:szCs w:val="21"/>
                <w:lang w:val="en-US" w:eastAsia="zh-CN" w:bidi="ar"/>
              </w:rPr>
            </w:pPr>
            <w:r>
              <w:rPr>
                <w:rFonts w:hint="eastAsia" w:ascii="方正仿宋_GB2312" w:hAnsi="方正仿宋_GB2312" w:eastAsia="方正仿宋_GB2312" w:cs="方正仿宋_GB2312"/>
                <w:sz w:val="21"/>
                <w:szCs w:val="21"/>
                <w:lang w:val="en-US" w:eastAsia="zh-CN"/>
              </w:rPr>
              <w:t>社会福利机构控烟</w:t>
            </w:r>
          </w:p>
        </w:tc>
        <w:tc>
          <w:tcPr>
            <w:tcW w:w="1113" w:type="dxa"/>
            <w:tcBorders>
              <w:top w:val="single" w:color="auto" w:sz="6" w:space="0"/>
              <w:left w:val="single" w:color="auto" w:sz="6" w:space="0"/>
              <w:bottom w:val="single" w:color="auto" w:sz="6" w:space="0"/>
              <w:right w:val="single" w:color="auto" w:sz="6" w:space="0"/>
            </w:tcBorders>
            <w:noWrap w:val="0"/>
            <w:vAlign w:val="center"/>
          </w:tcPr>
          <w:p w14:paraId="52D9CB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00" w:lineRule="atLeast"/>
              <w:ind w:left="0" w:leftChars="0" w:right="0" w:rightChars="0"/>
              <w:jc w:val="both"/>
              <w:textAlignment w:val="center"/>
              <w:rPr>
                <w:rFonts w:hint="eastAsia" w:ascii="方正仿宋_GB2312" w:hAnsi="方正仿宋_GB2312" w:eastAsia="方正仿宋_GB2312" w:cs="方正仿宋_GB2312"/>
                <w:kern w:val="0"/>
                <w:sz w:val="21"/>
                <w:szCs w:val="21"/>
                <w:lang w:val="en-US" w:eastAsia="zh-CN" w:bidi="ar"/>
              </w:rPr>
            </w:pPr>
            <w:r>
              <w:rPr>
                <w:rFonts w:hint="eastAsia" w:ascii="方正仿宋_GB2312" w:hAnsi="方正仿宋_GB2312" w:eastAsia="方正仿宋_GB2312" w:cs="方正仿宋_GB2312"/>
                <w:sz w:val="21"/>
                <w:szCs w:val="21"/>
              </w:rPr>
              <w:t>禁止吸烟场所不建立禁止吸烟管理制度，不设置禁止吸烟检查员，不开展禁止吸烟宣传教育工作</w:t>
            </w:r>
          </w:p>
        </w:tc>
        <w:tc>
          <w:tcPr>
            <w:tcW w:w="1410" w:type="dxa"/>
            <w:tcBorders>
              <w:top w:val="single" w:color="auto" w:sz="6" w:space="0"/>
              <w:left w:val="single" w:color="auto" w:sz="6" w:space="0"/>
              <w:bottom w:val="single" w:color="auto" w:sz="6" w:space="0"/>
              <w:right w:val="single" w:color="auto" w:sz="6" w:space="0"/>
            </w:tcBorders>
            <w:noWrap w:val="0"/>
            <w:vAlign w:val="center"/>
          </w:tcPr>
          <w:p w14:paraId="7E98EB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00" w:lineRule="atLeast"/>
              <w:ind w:left="0" w:leftChars="0" w:right="0" w:rightChars="0"/>
              <w:jc w:val="both"/>
              <w:textAlignment w:val="center"/>
              <w:rPr>
                <w:rFonts w:hint="eastAsia" w:ascii="方正仿宋_GB2312" w:hAnsi="方正仿宋_GB2312" w:eastAsia="方正仿宋_GB2312" w:cs="方正仿宋_GB2312"/>
                <w:kern w:val="0"/>
                <w:sz w:val="21"/>
                <w:szCs w:val="21"/>
                <w:lang w:val="en-US" w:eastAsia="zh-CN" w:bidi="ar"/>
              </w:rPr>
            </w:pPr>
            <w:r>
              <w:rPr>
                <w:rFonts w:hint="eastAsia" w:ascii="方正仿宋_GB2312" w:hAnsi="方正仿宋_GB2312" w:eastAsia="方正仿宋_GB2312" w:cs="方正仿宋_GB2312"/>
                <w:sz w:val="21"/>
                <w:szCs w:val="21"/>
              </w:rPr>
              <w:t>《</w:t>
            </w:r>
            <w:r>
              <w:rPr>
                <w:rFonts w:hint="eastAsia" w:ascii="方正仿宋_GB2312" w:hAnsi="方正仿宋_GB2312" w:eastAsia="方正仿宋_GB2312" w:cs="方正仿宋_GB2312"/>
                <w:sz w:val="21"/>
                <w:szCs w:val="21"/>
                <w:lang w:val="en-US" w:eastAsia="zh-CN"/>
              </w:rPr>
              <w:t>天津市控制吸烟</w:t>
            </w:r>
            <w:r>
              <w:rPr>
                <w:rFonts w:hint="eastAsia" w:ascii="方正仿宋_GB2312" w:hAnsi="方正仿宋_GB2312" w:eastAsia="方正仿宋_GB2312" w:cs="方正仿宋_GB2312"/>
                <w:sz w:val="21"/>
                <w:szCs w:val="21"/>
              </w:rPr>
              <w:t>条例》</w:t>
            </w:r>
            <w:r>
              <w:rPr>
                <w:rFonts w:hint="eastAsia" w:ascii="方正仿宋_GB2312" w:hAnsi="方正仿宋_GB2312" w:eastAsia="方正仿宋_GB2312" w:cs="方正仿宋_GB2312"/>
                <w:sz w:val="21"/>
                <w:szCs w:val="21"/>
                <w:lang w:val="en-US" w:eastAsia="zh-CN"/>
              </w:rPr>
              <w:t>第十一条第二款第（一）项</w:t>
            </w:r>
          </w:p>
        </w:tc>
        <w:tc>
          <w:tcPr>
            <w:tcW w:w="1320" w:type="dxa"/>
            <w:tcBorders>
              <w:top w:val="single" w:color="auto" w:sz="6" w:space="0"/>
              <w:left w:val="single" w:color="auto" w:sz="6" w:space="0"/>
              <w:bottom w:val="single" w:color="auto" w:sz="6" w:space="0"/>
              <w:right w:val="single" w:color="auto" w:sz="6" w:space="0"/>
            </w:tcBorders>
            <w:noWrap w:val="0"/>
            <w:vAlign w:val="center"/>
          </w:tcPr>
          <w:p w14:paraId="79ECCE3D">
            <w:pPr>
              <w:bidi w:val="0"/>
              <w:jc w:val="both"/>
              <w:rPr>
                <w:rFonts w:hint="eastAsia" w:ascii="方正仿宋_GB2312" w:hAnsi="方正仿宋_GB2312" w:eastAsia="方正仿宋_GB2312" w:cs="方正仿宋_GB2312"/>
                <w:kern w:val="2"/>
                <w:sz w:val="21"/>
                <w:szCs w:val="21"/>
                <w:lang w:val="en-US" w:eastAsia="zh-CN" w:bidi="ar-SA"/>
              </w:rPr>
            </w:pPr>
            <w:r>
              <w:rPr>
                <w:rFonts w:hint="eastAsia" w:ascii="方正仿宋_GB2312" w:hAnsi="方正仿宋_GB2312" w:eastAsia="方正仿宋_GB2312" w:cs="方正仿宋_GB2312"/>
                <w:sz w:val="21"/>
                <w:szCs w:val="21"/>
              </w:rPr>
              <w:t>《</w:t>
            </w:r>
            <w:r>
              <w:rPr>
                <w:rFonts w:hint="eastAsia" w:ascii="方正仿宋_GB2312" w:hAnsi="方正仿宋_GB2312" w:eastAsia="方正仿宋_GB2312" w:cs="方正仿宋_GB2312"/>
                <w:sz w:val="21"/>
                <w:szCs w:val="21"/>
                <w:lang w:val="en-US" w:eastAsia="zh-CN"/>
              </w:rPr>
              <w:t>天津市控制吸烟</w:t>
            </w:r>
            <w:r>
              <w:rPr>
                <w:rFonts w:hint="eastAsia" w:ascii="方正仿宋_GB2312" w:hAnsi="方正仿宋_GB2312" w:eastAsia="方正仿宋_GB2312" w:cs="方正仿宋_GB2312"/>
                <w:sz w:val="21"/>
                <w:szCs w:val="21"/>
              </w:rPr>
              <w:t>条例》</w:t>
            </w:r>
            <w:r>
              <w:rPr>
                <w:rFonts w:hint="eastAsia" w:ascii="方正仿宋_GB2312" w:hAnsi="方正仿宋_GB2312" w:eastAsia="方正仿宋_GB2312" w:cs="方正仿宋_GB2312"/>
                <w:sz w:val="21"/>
                <w:szCs w:val="21"/>
                <w:lang w:val="en-US" w:eastAsia="zh-CN"/>
              </w:rPr>
              <w:t>第二十二条第一款第（一）项</w:t>
            </w:r>
          </w:p>
        </w:tc>
        <w:tc>
          <w:tcPr>
            <w:tcW w:w="2040" w:type="dxa"/>
            <w:tcBorders>
              <w:top w:val="single" w:color="auto" w:sz="6" w:space="0"/>
              <w:left w:val="single" w:color="auto" w:sz="6" w:space="0"/>
              <w:bottom w:val="single" w:color="auto" w:sz="6" w:space="0"/>
              <w:right w:val="single" w:color="auto" w:sz="6" w:space="0"/>
            </w:tcBorders>
            <w:noWrap w:val="0"/>
            <w:vAlign w:val="center"/>
          </w:tcPr>
          <w:p w14:paraId="5A35F0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0"/>
              <w:jc w:val="both"/>
              <w:textAlignment w:val="center"/>
              <w:rPr>
                <w:rFonts w:hint="eastAsia" w:ascii="方正仿宋_GB2312" w:hAnsi="方正仿宋_GB2312" w:eastAsia="方正仿宋_GB2312" w:cs="方正仿宋_GB2312"/>
                <w:sz w:val="21"/>
                <w:szCs w:val="21"/>
              </w:rPr>
            </w:pPr>
            <w:r>
              <w:rPr>
                <w:rFonts w:hint="eastAsia" w:ascii="方正仿宋_GB2312" w:hAnsi="方正仿宋_GB2312" w:eastAsia="方正仿宋_GB2312" w:cs="方正仿宋_GB2312"/>
                <w:sz w:val="21"/>
                <w:szCs w:val="21"/>
              </w:rPr>
              <w:t>1.违法行为轻微，未造成危害后果，主动整改或在民政部门责令改正期限内改正；</w:t>
            </w:r>
          </w:p>
          <w:p w14:paraId="6FA7FA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leftChars="0" w:right="0" w:rightChars="0" w:firstLine="0" w:firstLineChars="0"/>
              <w:jc w:val="both"/>
              <w:textAlignment w:val="center"/>
              <w:rPr>
                <w:rFonts w:hint="eastAsia" w:ascii="方正仿宋_GB2312" w:hAnsi="方正仿宋_GB2312" w:eastAsia="方正仿宋_GB2312" w:cs="方正仿宋_GB2312"/>
                <w:kern w:val="0"/>
                <w:sz w:val="21"/>
                <w:szCs w:val="21"/>
                <w:lang w:val="en-US" w:eastAsia="zh-CN" w:bidi="ar"/>
              </w:rPr>
            </w:pPr>
            <w:r>
              <w:rPr>
                <w:rFonts w:hint="eastAsia" w:ascii="方正仿宋_GB2312" w:hAnsi="方正仿宋_GB2312" w:eastAsia="方正仿宋_GB2312" w:cs="方正仿宋_GB2312"/>
                <w:sz w:val="21"/>
                <w:szCs w:val="21"/>
              </w:rPr>
              <w:t>2.初次违法，</w:t>
            </w:r>
            <w:r>
              <w:rPr>
                <w:rFonts w:hint="eastAsia" w:ascii="方正仿宋_GB2312" w:hAnsi="方正仿宋_GB2312" w:eastAsia="方正仿宋_GB2312" w:cs="方正仿宋_GB2312"/>
                <w:sz w:val="21"/>
                <w:szCs w:val="21"/>
                <w:lang w:val="en-US" w:eastAsia="zh-CN"/>
              </w:rPr>
              <w:t>即检查之日起前两年内无违反同一法律规定的查处记录，</w:t>
            </w:r>
            <w:r>
              <w:rPr>
                <w:rFonts w:hint="eastAsia" w:ascii="方正仿宋_GB2312" w:hAnsi="方正仿宋_GB2312" w:eastAsia="方正仿宋_GB2312" w:cs="方正仿宋_GB2312"/>
                <w:sz w:val="21"/>
                <w:szCs w:val="21"/>
              </w:rPr>
              <w:t>危害后果轻微，主动整改或在民政部门责令改正期限内改正。</w:t>
            </w:r>
          </w:p>
        </w:tc>
        <w:tc>
          <w:tcPr>
            <w:tcW w:w="963" w:type="dxa"/>
            <w:tcBorders>
              <w:top w:val="single" w:color="auto" w:sz="6" w:space="0"/>
              <w:left w:val="single" w:color="auto" w:sz="6" w:space="0"/>
              <w:bottom w:val="single" w:color="auto" w:sz="6" w:space="0"/>
              <w:right w:val="single" w:color="auto" w:sz="6" w:space="0"/>
            </w:tcBorders>
            <w:noWrap w:val="0"/>
            <w:vAlign w:val="center"/>
          </w:tcPr>
          <w:p w14:paraId="4AFA04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5" w:beforeAutospacing="0" w:after="0" w:afterAutospacing="0" w:line="300" w:lineRule="atLeast"/>
              <w:ind w:left="0" w:leftChars="0" w:right="0" w:rightChars="0"/>
              <w:jc w:val="center"/>
              <w:textAlignment w:val="center"/>
              <w:rPr>
                <w:rFonts w:hint="eastAsia" w:ascii="方正仿宋_GB2312" w:hAnsi="方正仿宋_GB2312" w:eastAsia="方正仿宋_GB2312" w:cs="方正仿宋_GB2312"/>
                <w:kern w:val="0"/>
                <w:sz w:val="21"/>
                <w:szCs w:val="21"/>
                <w:lang w:val="en-US" w:eastAsia="zh-CN" w:bidi="ar"/>
              </w:rPr>
            </w:pPr>
            <w:r>
              <w:rPr>
                <w:rFonts w:hint="eastAsia" w:ascii="方正仿宋_GB2312" w:hAnsi="方正仿宋_GB2312" w:eastAsia="方正仿宋_GB2312" w:cs="方正仿宋_GB2312"/>
                <w:sz w:val="21"/>
                <w:szCs w:val="21"/>
              </w:rPr>
              <w:t>市级、区级</w:t>
            </w:r>
          </w:p>
        </w:tc>
      </w:tr>
    </w:tbl>
    <w:p w14:paraId="66DD44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450" w:lineRule="atLeast"/>
        <w:ind w:left="0" w:right="0"/>
        <w:jc w:val="both"/>
        <w:rPr>
          <w:rFonts w:hint="eastAsia" w:ascii="黑体" w:hAnsi="黑体" w:eastAsia="黑体" w:cs="黑体"/>
          <w:i w:val="0"/>
          <w:iCs w:val="0"/>
          <w:caps w:val="0"/>
          <w:color w:val="333333"/>
          <w:spacing w:val="0"/>
          <w:sz w:val="32"/>
          <w:szCs w:val="32"/>
          <w:shd w:val="clear" w:color="auto" w:fill="FFFFFF"/>
        </w:rPr>
      </w:pPr>
    </w:p>
    <w:p w14:paraId="1A31DDF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55EEA04F-6DC7-4300-BD9C-A4F60901B03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DEB6717-D09A-44D8-B062-4F64B4DFB109}"/>
  </w:font>
  <w:font w:name="方正小标宋简体">
    <w:panose1 w:val="02010601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3" w:fontKey="{2FC6A2DE-C590-4BF8-891F-61EE9C89B3D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DA414F"/>
    <w:rsid w:val="2ADA4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2026-01-15T03:21:00Z</dcterms:created>
  <dc:creator>sai</dc:creator>
  <cp:lastModifiedBy>sai</cp:lastModifiedBy>
  <dcterms:modified xsi:type="dcterms:W3CDTF">2026-01-15T03:21:58Z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1786E118135F4559B482F2427AA29D94_11</vt:lpwstr>
  </property>
  <property fmtid="{D5CDD505-2E9C-101B-9397-08002B2CF9AE}" pid="4" name="KSOTemplateDocerSaveRecord">
    <vt:lpwstr>eyJoZGlkIjoiNDNiYTBmOTgyNjFiYmNkYjM5ZDQxMGE1MWU3YjlhM2UiLCJ1c2VySWQiOiI3OTExMDQzNDEifQ==</vt:lpwstr>
  </property>
</Properties>
</file>