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929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市民政局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 xml:space="preserve"> 市财政局 市人社局 市残联关于</w:t>
      </w:r>
    </w:p>
    <w:p w14:paraId="2236A63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完善分类救助有关政策的通知</w:t>
      </w:r>
    </w:p>
    <w:p w14:paraId="4A73696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 w14:paraId="1D483B5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ascii="Times New Roman" w:hAnsi="Times New Roman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各区民政局、财政局、人社局、残联：</w:t>
      </w:r>
    </w:p>
    <w:p w14:paraId="6E12BB3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为贯彻落实《中共中央办公厅 国务院办公厅印发〈关于改革完善社会救助制度的意见〉的通知》，进一步完善对重度残疾人、重病患者以及老年人、未成年人等特殊困难群体的救助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帮扶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，实现精准救助，现就完善分类救助的有关政策通知如下：</w:t>
      </w:r>
    </w:p>
    <w:p w14:paraId="6C5E4B0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</w:rPr>
        <w:t>一、基本原则</w:t>
      </w:r>
    </w:p>
    <w:p w14:paraId="6D69509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困难人员致贫原因、身体状况、劳动能力、困难程度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具体情况，实施分类救助。在法定劳动年龄段内，具有劳动能力的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救助对象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，按照市人社等部门制定的有关鼓励就业政策，实施就业救助。对不具有劳动能力和家庭有特殊困难的人员给予特别照顾，制定不同的救助标准。</w:t>
      </w:r>
    </w:p>
    <w:p w14:paraId="1A58F76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</w:rPr>
        <w:t>二、标准和范围</w:t>
      </w:r>
    </w:p>
    <w:p w14:paraId="0908F8A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（一）下列家庭在申请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最低生活保障（以下简称：低保）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低保边缘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家庭救助时，按以下项目标准抵扣家庭收入。</w:t>
      </w:r>
    </w:p>
    <w:p w14:paraId="20E4D7C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1.对有视力残疾、肢体残疾、智力残疾、精神残疾一级和二级人员的家庭，将家庭收入扣减1000元；对有言语残疾、听力残疾一级和二级或智力、精神残疾三级人员的家庭，将家庭收入扣减500元。上述标准均按家庭中实际残疾人数计算。</w:t>
      </w:r>
    </w:p>
    <w:p w14:paraId="5ED7A7E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2.对有尿毒症、肾移植、白血病、戈谢病、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心脏移植、肝脏移植、肺移植、骨髓移植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患者的家庭，将家庭收入扣减1500元；对有恶性肿瘤、血友病、再生障碍性贫血、耐多药肺结核、偏瘫、红斑狼疮、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心脏换瓣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患者的家庭，将家庭收入扣减1000元；对有血管支架、血管搭桥、肾病综合症、肝硬化、甲亢、I型糖尿病、艾滋病、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脑梗死（脑梗塞）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、细胞间质瘤、阿尔茨海默病、重症肌无力、硬化症、癫痫、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脑出血后遗症、强直性脊柱炎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患者的家庭，将家庭收入扣减500元。上述标准均按家庭中实际患病人数计算。</w:t>
      </w:r>
    </w:p>
    <w:p w14:paraId="7D120BD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3.对丧偶单亲且子女在学（从学龄前至全日制大学）的家庭，将家庭收入扣减1200元。</w:t>
      </w:r>
    </w:p>
    <w:p w14:paraId="2EB3795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4.对除丧偶以外的其他单亲且子女在学（从学龄前至全日制大学）的家庭，将家庭收入扣减800元。</w:t>
      </w:r>
    </w:p>
    <w:p w14:paraId="5E3B60C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5.城市60周岁（含）以上无子女“双老”并靠一人退休金维持生活的家庭，将家庭收入扣减1200元。</w:t>
      </w:r>
    </w:p>
    <w:p w14:paraId="0B6A3CA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6.享受计划生育特别扶助政策的家庭，将家庭收入扣减1000元。</w:t>
      </w:r>
    </w:p>
    <w:p w14:paraId="77865F8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符合上述两种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以上条件的，按抵扣项目标准高的择一执行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参照“单人户”纳入我市“单人保”保障待遇的，不再享受分类收入抵扣政策。</w:t>
      </w:r>
    </w:p>
    <w:p w14:paraId="5BD9A56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（二）下列人员在享受低保待遇时上浮救助标准。</w:t>
      </w:r>
    </w:p>
    <w:p w14:paraId="2152B38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1.父母双方均符合死亡、失联、服刑在押、强制隔离戒毒、被执行其他限制人身自由的措施情形之一的18周岁（含）以上全日制在校学生（不含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硕士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研究生、博士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生）享受低保待遇时，增发1560元。</w:t>
      </w:r>
    </w:p>
    <w:p w14:paraId="05BB522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2.享受低保待遇的60周岁（含）以上的老年人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包括参照“单人户”纳入我市“单人保”保障待遇的人员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，在享受原差额救助的基础上，增发300元。</w:t>
      </w:r>
    </w:p>
    <w:p w14:paraId="1223211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</w:rPr>
        <w:t>三、申请</w:t>
      </w:r>
      <w:r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  <w:lang w:eastAsia="zh-CN"/>
        </w:rPr>
        <w:t>材料</w:t>
      </w:r>
    </w:p>
    <w:p w14:paraId="284576A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下列人员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的家庭在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申请低保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低保边缘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家庭救助待遇时，除按相关救助规定提供申请材料外，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申请家庭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还须提供以下材料:</w:t>
      </w:r>
    </w:p>
    <w:p w14:paraId="3393012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（一）患病人员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提供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1年内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二级甲等以上医院诊断证明和原始病历资料复印件（加盖医院公章）。</w:t>
      </w:r>
    </w:p>
    <w:p w14:paraId="592C30F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（二）残疾人员，提供残联核发的已确定等级的《中华人民共和国残疾人证》。</w:t>
      </w:r>
    </w:p>
    <w:p w14:paraId="587418A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（三）城市无子女“双老”人员，提供退休金（养老金）证明。</w:t>
      </w:r>
    </w:p>
    <w:p w14:paraId="3377A5B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（四）享受计划生育特别扶助政策的家庭，提供《计划生育家庭特别扶助制度扶助证》。</w:t>
      </w:r>
    </w:p>
    <w:p w14:paraId="743F65D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重病分类救助抵扣政策抵扣期满2年后，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申请家庭应提供近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1年内医院出具的诊断证明和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定期门诊、就医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和服药等记录（系统能查询到的可不提供）。对于本通知发布前已享受重病分类救助抵扣政策的人员，满2年后，也应按要求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提供相关材料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进行审核。</w:t>
      </w:r>
    </w:p>
    <w:p w14:paraId="0BB67D0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仿宋"/>
          <w:color w:val="auto"/>
          <w:sz w:val="32"/>
          <w:szCs w:val="32"/>
          <w:shd w:val="clear" w:color="auto" w:fill="FFFFFF"/>
        </w:rPr>
        <w:t>四、工作要求</w:t>
      </w:r>
    </w:p>
    <w:p w14:paraId="6C3A146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加强工作联动。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各区民政、财政、人社、残联等部门要紧密配合，相互协作，共同做好分类救助工作，确保分类救助政策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有效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落实。</w:t>
      </w:r>
    </w:p>
    <w:p w14:paraId="46374E1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（二）加强精准救助。各区民政部门要加强对乡镇（街道）审核确认工作的监督指导，按照每半年或每年定期核查的要求，扎实开展入户调查和经济状况核对，精准识别救助家庭收入、财产、人员等变化情况。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重病分类救助抵扣政策抵扣期满后，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由经办机构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研判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救助对象是否符合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分类救助抵扣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条件，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参考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救助家庭收入、财产、人员等情况变化，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及时调整相关保障待遇。</w:t>
      </w:r>
    </w:p>
    <w:p w14:paraId="2AE0989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加强资金保障。各区民政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和财政部门要加强对分类救助资金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使用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管理，主动接受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纪检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监察、审计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部门的监督检查，发现问题及时纠正。实行分类救助政策增加的资金支出，由困难群众救助补助资金承担。</w:t>
      </w:r>
    </w:p>
    <w:p w14:paraId="1384927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）本文件自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印发之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日起施行，有效期5年。</w:t>
      </w:r>
    </w:p>
    <w:p w14:paraId="3E4A41C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6E377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77F038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00B43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市民政局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市财政局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 w14:paraId="0226A7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 w14:paraId="471DA4A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 w14:paraId="329013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</w:p>
    <w:p w14:paraId="2BBC63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市人社局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市残联</w:t>
      </w:r>
    </w:p>
    <w:p w14:paraId="7AFB63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 xml:space="preserve">  202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日</w:t>
      </w:r>
    </w:p>
    <w:p w14:paraId="1AEF90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（此件主动公开）</w:t>
      </w:r>
    </w:p>
    <w:p w14:paraId="249FF2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ascii="Times New Roman" w:hAnsi="Times New Roman" w:eastAsia="仿宋" w:cs="仿宋"/>
          <w:sz w:val="32"/>
          <w:szCs w:val="32"/>
          <w:shd w:val="clear" w:color="auto" w:fill="FFFFFF"/>
        </w:rPr>
      </w:pPr>
    </w:p>
    <w:p w14:paraId="61455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10F7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00F5B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2AFF54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04F0"/>
    <w:rsid w:val="4A6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ascii="华文中宋" w:hAnsi="宋体" w:eastAsia="华文中宋"/>
      <w:b/>
      <w:sz w:val="44"/>
      <w:szCs w:val="48"/>
    </w:r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2025-09-17T06:36:00Z</dcterms:created>
  <dc:creator>sai</dc:creator>
  <cp:lastModifiedBy>sai</cp:lastModifiedBy>
  <dcterms:modified xsi:type="dcterms:W3CDTF">2025-09-17T06:39:34Z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123C4AAFFAF84714BE31A41F8D4B6F41_11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