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7DDF6">
      <w:pPr>
        <w:widowControl/>
        <w:adjustRightInd/>
        <w:spacing w:line="540" w:lineRule="exact"/>
        <w:jc w:val="center"/>
        <w:textAlignment w:val="auto"/>
        <w:rPr>
          <w:rFonts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天津市老龄工作委员会关于开展</w:t>
      </w:r>
    </w:p>
    <w:p w14:paraId="0E0967A6">
      <w:pPr>
        <w:widowControl/>
        <w:adjustRightInd/>
        <w:spacing w:line="540" w:lineRule="exact"/>
        <w:jc w:val="center"/>
        <w:textAlignment w:val="auto"/>
        <w:rPr>
          <w:rFonts w:ascii="黑体" w:hAnsi="微软雅黑" w:eastAsia="黑体" w:cs="宋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2025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年“敬老月”活动的通知</w:t>
      </w:r>
    </w:p>
    <w:p w14:paraId="22085B64">
      <w:pPr>
        <w:widowControl/>
        <w:adjustRightInd/>
        <w:spacing w:line="580" w:lineRule="exact"/>
        <w:jc w:val="center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bookmarkStart w:id="0" w:name="_GoBack"/>
      <w:bookmarkEnd w:id="0"/>
    </w:p>
    <w:p w14:paraId="768DB278">
      <w:pPr>
        <w:widowControl/>
        <w:adjustRightInd/>
        <w:spacing w:line="580" w:lineRule="exact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各区老龄工作委员会，市老龄工作委员会各成员单位：</w:t>
      </w:r>
    </w:p>
    <w:p w14:paraId="66897720">
      <w:pPr>
        <w:widowControl/>
        <w:adjustRightIn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为深入学习贯彻习近平总书记关于老龄工作的重要指示批示精神，推动实施积极应对人口老龄化国家战略，进一步弘扬中华民族孝亲敬老传统美德，大力营造敬老孝老爱老社会氛围，推进老年友好型社会建设，根据全国老龄工作委员会《关于开展</w:t>
      </w:r>
      <w:r>
        <w:rPr>
          <w:rFonts w:hint="eastAsia" w:eastAsia="仿宋_GB2312"/>
          <w:kern w:val="0"/>
          <w:sz w:val="32"/>
          <w:szCs w:val="32"/>
        </w:rPr>
        <w:t>2025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年全国“敬老月”活动的通知》（全国老龄委发〔</w:t>
      </w:r>
      <w:r>
        <w:rPr>
          <w:rFonts w:eastAsia="仿宋_GB2312"/>
          <w:kern w:val="0"/>
          <w:sz w:val="32"/>
          <w:szCs w:val="32"/>
        </w:rPr>
        <w:t>2025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〕</w:t>
      </w: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号）要求和我市工作实际，现就我市</w:t>
      </w:r>
      <w:r>
        <w:rPr>
          <w:rFonts w:hint="eastAsia" w:eastAsia="仿宋_GB2312"/>
          <w:kern w:val="0"/>
          <w:sz w:val="32"/>
          <w:szCs w:val="32"/>
        </w:rPr>
        <w:t>2025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年“敬老月”活动有关安排通知如下：</w:t>
      </w:r>
    </w:p>
    <w:p w14:paraId="07BD7A7C">
      <w:pPr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一、活动主题</w:t>
      </w:r>
    </w:p>
    <w:p w14:paraId="6A9289E5">
      <w:pPr>
        <w:widowControl/>
        <w:adjustRightIn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弘扬孝亲敬老美德 共建老年友好社会</w:t>
      </w:r>
    </w:p>
    <w:p w14:paraId="56CD65FA">
      <w:pPr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二、活动时间</w:t>
      </w:r>
    </w:p>
    <w:p w14:paraId="677E38F2">
      <w:pPr>
        <w:adjustRightIn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2025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10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10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日至</w:t>
      </w:r>
      <w:r>
        <w:rPr>
          <w:rFonts w:hint="eastAsia" w:eastAsia="仿宋_GB2312"/>
          <w:kern w:val="0"/>
          <w:sz w:val="32"/>
          <w:szCs w:val="32"/>
        </w:rPr>
        <w:t>31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日。</w:t>
      </w:r>
    </w:p>
    <w:p w14:paraId="4CED01BE">
      <w:pPr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三、活动内容</w:t>
      </w:r>
    </w:p>
    <w:p w14:paraId="28956922">
      <w:pPr>
        <w:adjustRightIn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方正楷体_GBK"/>
          <w:sz w:val="32"/>
          <w:szCs w:val="32"/>
        </w:rPr>
        <w:t>（一）</w:t>
      </w:r>
      <w:r>
        <w:rPr>
          <w:rFonts w:hint="eastAsia" w:ascii="楷体_GB2312" w:hAnsi="楷体_GB2312" w:eastAsia="楷体_GB2312" w:cs="宋体"/>
          <w:kern w:val="0"/>
          <w:sz w:val="32"/>
          <w:szCs w:val="32"/>
        </w:rPr>
        <w:t>开展人口老龄化国情教育活动，凝聚积极应对人口老龄化的强大合力。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联合海河传媒等新闻媒体，依托生活广播《枫叶正红》节目，制作播出人口老龄化国情教育系列节目，开展人口老龄化国情教育宣讲，普及积极老龄观、健康老龄化理念。录制人口老龄化国情教育宣传片，开展多场景、多形式展播，引导全社会积极看待老龄社会。广泛宣传全国“敬老文明号”和全国敬老爱老助老模范人物先进事迹。各区、各部门可结合实际通过公益作品展播、文艺作品展演、优秀民俗文化展示等方式，组织开展丰富多样的敬老文化主题活动，大力传承弘扬新时代孝亲敬老文化。鼓励社区、社会组织、企业及社会各界力量等广泛参与，充分利用党群服务中心、新时代文明实践中心（所、站）、老年人活动中心等载体，紧紧围绕积极应对人口老龄化国家战略，通过举办讲座、主题展览、交流分享、公益志愿、精神关爱等形式，开展“敬老月”主题系列活动，提升公众对积极应对人口老龄化认识和理解，让尊老敬老爱老助老的社会氛围更加浓厚。</w:t>
      </w:r>
    </w:p>
    <w:p w14:paraId="35A3435C">
      <w:pPr>
        <w:adjustRightIn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宋体"/>
          <w:kern w:val="0"/>
          <w:sz w:val="32"/>
          <w:szCs w:val="32"/>
        </w:rPr>
        <w:t>（二）开展走访慰问和关爱帮扶老年人活动，增强老年人</w:t>
      </w:r>
      <w:r>
        <w:rPr>
          <w:rFonts w:hint="eastAsia" w:ascii="楷体_GB2312" w:hAnsi="楷体_GB2312" w:eastAsia="楷体_GB2312" w:cs="宋体"/>
          <w:kern w:val="0"/>
          <w:sz w:val="32"/>
          <w:szCs w:val="32"/>
          <w:lang w:eastAsia="zh-CN"/>
        </w:rPr>
        <w:t>获得感、幸福感、安全感</w:t>
      </w:r>
      <w:r>
        <w:rPr>
          <w:rFonts w:hint="eastAsia" w:ascii="楷体_GB2312" w:hAnsi="楷体_GB2312" w:eastAsia="楷体_GB2312" w:cs="宋体"/>
          <w:kern w:val="0"/>
          <w:sz w:val="32"/>
          <w:szCs w:val="32"/>
        </w:rPr>
        <w:t>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链接多方资源，拓宽参与渠道，发挥基层党组织引领作用和党员干部先锋模范作用，动员基层组织、企事业单位、基金会、社会组织等各界力量，深入城乡社区、养老机构为广大老年人送温暖、送服务、送问候、送健康。依托老年人“探访关爱”等基本养老服务项目，推行网格员+党员</w:t>
      </w:r>
      <w:r>
        <w:rPr>
          <w:rFonts w:hint="eastAsia" w:ascii="仿宋" w:hAnsi="仿宋" w:eastAsia="仿宋" w:cs="仿宋"/>
          <w:sz w:val="32"/>
          <w:szCs w:val="32"/>
        </w:rPr>
        <w:t>“二对一”帮扶模式，重点为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独居、空巢、留守、失能、重残、计划生育特殊家庭等特殊困难老年人提供困难帮扶、智能支持、生活照料、精神慰藉等暖心服务。组织开展“银龄行动进万家暨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‘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寸草心手足情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’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”助老志愿服务活动，广泛动员爱心企业、社会组织、社会服务机构及广大志愿者为老年人提供关爱帮扶。开展“朝夕相伴，乐享智慧生活”数字助老行动，推进</w:t>
      </w:r>
      <w:r>
        <w:rPr>
          <w:rFonts w:ascii="仿宋_GB2312" w:hAnsi="微软雅黑" w:eastAsia="仿宋_GB2312" w:cs="宋体"/>
          <w:kern w:val="0"/>
          <w:sz w:val="32"/>
          <w:szCs w:val="32"/>
        </w:rPr>
        <w:t>数字扶老举措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深入</w:t>
      </w:r>
      <w:r>
        <w:rPr>
          <w:rFonts w:ascii="仿宋_GB2312" w:hAnsi="微软雅黑" w:eastAsia="仿宋_GB2312" w:cs="宋体"/>
          <w:kern w:val="0"/>
          <w:sz w:val="32"/>
          <w:szCs w:val="32"/>
        </w:rPr>
        <w:t>基层社区，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提升老年人数字素养，帮助老年人更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好地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融入数字时代。</w:t>
      </w:r>
      <w:r>
        <w:rPr>
          <w:rFonts w:ascii="仿宋_GB2312" w:eastAsia="仿宋_GB2312"/>
          <w:sz w:val="32"/>
          <w:szCs w:val="36"/>
        </w:rPr>
        <w:t>深化</w:t>
      </w:r>
      <w:r>
        <w:rPr>
          <w:rFonts w:hint="eastAsia" w:ascii="仿宋_GB2312" w:eastAsia="仿宋_GB2312"/>
          <w:sz w:val="32"/>
          <w:szCs w:val="36"/>
        </w:rPr>
        <w:t>“</w:t>
      </w:r>
      <w:r>
        <w:rPr>
          <w:rFonts w:ascii="仿宋_GB2312" w:eastAsia="仿宋_GB2312"/>
          <w:sz w:val="32"/>
          <w:szCs w:val="36"/>
        </w:rPr>
        <w:t>社区青春行动—寸草心</w:t>
      </w:r>
      <w:r>
        <w:rPr>
          <w:rFonts w:hint="eastAsia" w:ascii="仿宋_GB2312" w:eastAsia="仿宋_GB2312"/>
          <w:sz w:val="32"/>
          <w:szCs w:val="36"/>
        </w:rPr>
        <w:t>”</w:t>
      </w:r>
      <w:r>
        <w:rPr>
          <w:rFonts w:ascii="仿宋_GB2312" w:eastAsia="仿宋_GB2312"/>
          <w:sz w:val="32"/>
          <w:szCs w:val="36"/>
        </w:rPr>
        <w:t>青年志愿者助老行动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。深化“家的节日”重阳节家风弘扬活动，倡导尊老敬老家庭美德。开展“情暖老兵”公益活动。聚焦老年群体广播电视视听需求，依托“</w:t>
      </w: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G+智慧广电”服务，开展广电惠民服务提升行动之“金秋行动”，为老年人提供有线电视免费或低收费服务。</w:t>
      </w:r>
    </w:p>
    <w:p w14:paraId="1CAD8FC4">
      <w:pPr>
        <w:pStyle w:val="3"/>
        <w:spacing w:line="580" w:lineRule="exact"/>
        <w:ind w:firstLine="64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宋体"/>
          <w:kern w:val="0"/>
          <w:sz w:val="32"/>
          <w:szCs w:val="32"/>
        </w:rPr>
        <w:t>（三）开展老年用品和服务项目宣传推广活动，让老年人获得更好的服务体验。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以区为单位，组织开展养老机构开放日、免费试住等活动，引导养老机构向居家和社区延伸服务。向中度以上失能老年人发放养老服务消费补贴。持续推进老年助餐服务行动，鼓励服务企业在“敬老月”期间给予老年人适当优惠。鼓励养老服务综合体、家政服务企业、互联网平台等为老年人提供助浴、助洁、助行、助医、智慧养老优惠体验服务。鼓励各类市场主体举办“九九购物节”，设置银发消费专区、适老产品专区，实施孝心感恩消费优惠，推出更多适老化产品和服务体验活动。开展适老化无障碍交通出行环境建设宣传活动，鼓励公共交通运营主体强化为老服务暖心举措，提高适老化无障碍出行服务水平。优化老年人旅游产品供给，鼓励开行银发旅游专列，组织策划适合老年人的沉浸式、体验式、参与式文旅项目。开展老年人住宅适老功能改造和生活辅助设施适老化改造，提升老年人居家生活品质。结合全国“养老服务消费季”活动，举办天津养老服务博览会，搭建供需对接合作服务平台。</w:t>
      </w:r>
    </w:p>
    <w:p w14:paraId="271ACB95">
      <w:pPr>
        <w:adjustRightIn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宋体"/>
          <w:kern w:val="0"/>
          <w:sz w:val="32"/>
          <w:szCs w:val="32"/>
        </w:rPr>
        <w:t>（四）开展老年人健康知识普及活动，提高老年人健康素养水平。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充分利用各类宣传载体和健康教育宣传阵地，采取公益讲堂、知识讲座、健康咨询、健康巡讲、义诊等多种方式，开展老年人口腔健康、营养膳食、疾病预防、合理用药、心理健康、痴呆防治促进和听力健康等老年健康知识普及活动。加强国家基本公共卫生服务政策宣传，普及老年人常见病和慢性病防治、伤害预防、应急救助、生命教育等健康知识，提升老年人自我保健意识和能力，促进老年人健康生活方式养成。深入开展“体重管理年”活动，引导老年人加强体重管理，保持健康体重。发挥本市中医药特色优势，推广中医健康养生方案，继续举办中医文化市集活动。推进</w:t>
      </w:r>
      <w:r>
        <w:rPr>
          <w:rFonts w:hint="eastAsia" w:eastAsia="仿宋_GB2312"/>
          <w:kern w:val="0"/>
          <w:sz w:val="32"/>
          <w:szCs w:val="32"/>
        </w:rPr>
        <w:t>65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岁及以上老年人免费健康体检项目，鼓励结合实际优化家庭医生签约服务包。</w:t>
      </w:r>
    </w:p>
    <w:p w14:paraId="5E9500E4">
      <w:pPr>
        <w:adjustRightIn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宋体"/>
          <w:kern w:val="0"/>
          <w:sz w:val="32"/>
          <w:szCs w:val="32"/>
        </w:rPr>
        <w:t>（五）开展多种形式的文体活动，丰富老年人精神文化生活。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组织开展“老爸老妈老牛了”中老年人梦想真人秀海选活动和“敬老月”文艺展演活动，鼓励更多长者参与，丰富老年人文体生活。开展“敬老文化节活动”，通过智慧助老、健康咨询、经典电影展播、读书沙龙等文化活动，广泛宣传敬老文化。组织老干部开展“银龄聚力新征程 津彩绽放向未来”主题系列文化活动、“忆抗战烽火 颂盛世华章”纪念抗日战争胜利80周年文艺演出、“礼赞新中国 奋进新时代”国庆诗歌朗诵会，开展“津城美·光影建筑”摄影采风活动、“祖国颂 桑榆情”重阳戏曲展演。持续实施新时代“银龄行动”，开展“赋能银龄、守望相助”活动，为银龄志愿者赋能，引导更多老年人参与志愿服务组织和志愿服务项目。充分发挥各级各类老年大学、老年人体育协会、老年社会组织的优势，积极开展广场舞、健步走、歌咏、阅读、书画、摄影等适合老年人的文体活动。推动城乡社区、养老机构结合实际组织适合老年人的“九九重阳”健身活动，增强老年人体质。开展“科学健身大讲堂”等活动，广泛开展广播体操、太极拳、毽球、乒乓球等老年人喜欢的体育健身项目，鼓励体育场馆在“重阳节”当天向老年人免费开放。推出更多适合老年残疾人的康复健身体育方法和活动。</w:t>
      </w:r>
    </w:p>
    <w:p w14:paraId="29141822">
      <w:pPr>
        <w:snapToGrid w:val="0"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宋体"/>
          <w:kern w:val="0"/>
          <w:sz w:val="32"/>
          <w:szCs w:val="32"/>
        </w:rPr>
        <w:t>（六）开展法律服务助老活动，维护好老年人合法权益。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持续实施“法律服务 助老护老”行动，推进公共法律服务体系建设，充分发挥实体、热线、网络三大平台作用，统筹律师、公证、法律援助、人民调解等公共法律服务资源，聚焦老年群体法律服务需求，开展公共法律服务。深入开展老年人权益保障法普法宣传，增强老年人法律意识，引导社会各界参与支持老年人权益保障工作。加大养老保险、医疗保障、长期护理保险等涉老政策宣传力度。持续开展打击治理电信网络诈骗工作，持续整治违法广告、老年人药品、保健品虚假宣传等涉老侵权乱象。动员基层组织、企事业单位、社会组织开展老年人防范诈骗知识宣传。加强防范非法金融活动宣传教育，引导金融机构普及相关知识。</w:t>
      </w:r>
    </w:p>
    <w:p w14:paraId="3778C50A">
      <w:pPr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 w14:paraId="0E14A9C0">
      <w:pPr>
        <w:adjustRightInd/>
        <w:spacing w:line="580" w:lineRule="exac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ascii="仿宋_GB2312" w:hAnsi="微软雅黑" w:eastAsia="仿宋_GB2312" w:cs="宋体"/>
          <w:kern w:val="0"/>
          <w:sz w:val="32"/>
          <w:szCs w:val="32"/>
        </w:rPr>
        <w:t>各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区</w:t>
      </w:r>
      <w:r>
        <w:rPr>
          <w:rFonts w:ascii="仿宋_GB2312" w:hAnsi="微软雅黑" w:eastAsia="仿宋_GB2312" w:cs="宋体"/>
          <w:kern w:val="0"/>
          <w:sz w:val="32"/>
          <w:szCs w:val="32"/>
        </w:rPr>
        <w:t>老龄委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和市老龄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委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员会各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成员单位要认真贯彻落实全国老龄委部署要求，</w:t>
      </w:r>
      <w:r>
        <w:rPr>
          <w:rFonts w:ascii="仿宋_GB2312" w:hAnsi="微软雅黑" w:eastAsia="仿宋_GB2312" w:cs="宋体"/>
          <w:kern w:val="0"/>
          <w:sz w:val="32"/>
          <w:szCs w:val="32"/>
        </w:rPr>
        <w:t>加强组织领导，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精心</w:t>
      </w:r>
      <w:r>
        <w:rPr>
          <w:rFonts w:ascii="仿宋_GB2312" w:hAnsi="微软雅黑" w:eastAsia="仿宋_GB2312" w:cs="宋体"/>
          <w:kern w:val="0"/>
          <w:sz w:val="32"/>
          <w:szCs w:val="32"/>
        </w:rPr>
        <w:t>谋划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安排，充分发挥地域特色优势和行业资源优势，整合各类资源，凝聚各方力量，</w:t>
      </w:r>
      <w:r>
        <w:rPr>
          <w:rFonts w:ascii="仿宋_GB2312" w:hAnsi="微软雅黑" w:eastAsia="仿宋_GB2312" w:cs="宋体"/>
          <w:kern w:val="0"/>
          <w:sz w:val="32"/>
          <w:szCs w:val="32"/>
        </w:rPr>
        <w:t>坚持面向基层、面向群众，广泛开展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内容丰富、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形式多样、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接地气聚人气的“敬老月”主题</w:t>
      </w:r>
      <w:r>
        <w:rPr>
          <w:rFonts w:ascii="仿宋_GB2312" w:hAnsi="微软雅黑" w:eastAsia="仿宋_GB2312" w:cs="宋体"/>
          <w:kern w:val="0"/>
          <w:sz w:val="32"/>
          <w:szCs w:val="32"/>
        </w:rPr>
        <w:t>活动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，为老年人带来实实在在的获得感，大力</w:t>
      </w:r>
      <w:r>
        <w:rPr>
          <w:rFonts w:ascii="仿宋_GB2312" w:hAnsi="微软雅黑" w:eastAsia="仿宋_GB2312" w:cs="宋体"/>
          <w:kern w:val="0"/>
          <w:sz w:val="32"/>
          <w:szCs w:val="32"/>
        </w:rPr>
        <w:t>营造敬老爱老助老社会氛围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。要以“敬老月”活动为契机，建立健全尊老敬老爱老助老长效工作机制，切实把老年人生活保障好、作用发挥好、权益维护好。要充分利用各类宣传媒体和平台渠道，加强对“敬老月”各项活动的宣传报道，不断扩大活动影响力和覆盖面。要严格执行厉行节约、坚持过紧日子要求，反对铺张浪费，力戒形式主义，确保活动取得实效。</w:t>
      </w:r>
    </w:p>
    <w:p w14:paraId="17ADB367">
      <w:pPr>
        <w:adjustRightIn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各区</w:t>
      </w:r>
      <w:r>
        <w:rPr>
          <w:rFonts w:hint="eastAsia" w:ascii="仿宋_GB2312" w:hAnsi="仿宋_GB2312" w:eastAsia="仿宋_GB2312" w:cs="仿宋_GB2312"/>
          <w:sz w:val="32"/>
          <w:szCs w:val="32"/>
        </w:rPr>
        <w:t>老龄委、市老龄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</w:t>
      </w:r>
      <w:r>
        <w:rPr>
          <w:rFonts w:ascii="仿宋_GB2312" w:hAnsi="仿宋_GB2312" w:eastAsia="仿宋_GB2312" w:cs="仿宋_GB2312"/>
          <w:sz w:val="32"/>
          <w:szCs w:val="32"/>
        </w:rPr>
        <w:t>单位要根据本通知精神，结合实际组织开展“敬老月”活动，并于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11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日前将“敬老月”活动总结报至</w:t>
      </w:r>
      <w:r>
        <w:rPr>
          <w:rFonts w:hint="eastAsia" w:ascii="仿宋_GB2312" w:hAnsi="仿宋_GB2312" w:eastAsia="仿宋_GB2312" w:cs="仿宋_GB2312"/>
          <w:sz w:val="32"/>
          <w:szCs w:val="32"/>
        </w:rPr>
        <w:t>市民政局老龄工作处政务邮箱llgzc@tj.gov.cn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5EF78A66"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 w14:paraId="7B10D6CA">
      <w:pPr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E444BF">
      <w:pPr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CB024B">
      <w:pPr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91B383">
      <w:pPr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BB60FE">
      <w:pPr>
        <w:adjustRightInd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2025年9月12日</w:t>
      </w:r>
    </w:p>
    <w:p w14:paraId="235ADA0C">
      <w:pPr>
        <w:pStyle w:val="2"/>
      </w:pPr>
    </w:p>
    <w:p w14:paraId="263D9A4D">
      <w:pPr>
        <w:pStyle w:val="2"/>
      </w:pPr>
    </w:p>
    <w:p w14:paraId="54D11F3C">
      <w:pPr>
        <w:pStyle w:val="2"/>
      </w:pPr>
    </w:p>
    <w:p w14:paraId="7672A155">
      <w:pPr>
        <w:pStyle w:val="2"/>
      </w:pPr>
    </w:p>
    <w:p w14:paraId="2F0B3A14">
      <w:pPr>
        <w:pStyle w:val="2"/>
      </w:pPr>
    </w:p>
    <w:p w14:paraId="0E57F753">
      <w:pPr>
        <w:pStyle w:val="2"/>
      </w:pPr>
    </w:p>
    <w:p w14:paraId="2D54DC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20E05"/>
    <w:rsid w:val="17084259"/>
    <w:rsid w:val="3472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Indent"/>
    <w:uiPriority w:val="0"/>
    <w:pPr>
      <w:widowControl w:val="0"/>
      <w:ind w:firstLine="420" w:firstLineChars="20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2025-09-17T01:11:00Z</dcterms:created>
  <dc:creator>sai</dc:creator>
  <cp:lastModifiedBy>sai</cp:lastModifiedBy>
  <dcterms:modified xsi:type="dcterms:W3CDTF">2025-09-17T01:15:11Z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2AE8943EC32C4AF6BBFAF251EE7153A4_11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