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D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202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天津市民政局关于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44"/>
          <w:lang w:val="en-US" w:eastAsia="zh-CN"/>
        </w:rPr>
        <w:t>印发《天津市养老机构</w:t>
      </w:r>
    </w:p>
    <w:p w14:paraId="03664D6A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44"/>
          <w:lang w:val="en-US" w:eastAsia="zh-CN"/>
        </w:rPr>
        <w:t>护理型床位设置指引》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sz w:val="44"/>
          <w:szCs w:val="44"/>
          <w:lang w:val="en-US" w:eastAsia="zh-CN"/>
        </w:rPr>
        <w:t>的通知</w:t>
      </w:r>
      <w:bookmarkEnd w:id="0"/>
    </w:p>
    <w:p w14:paraId="090EE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小标宋_GBK"/>
          <w:bCs/>
          <w:sz w:val="32"/>
          <w:szCs w:val="32"/>
        </w:rPr>
      </w:pPr>
    </w:p>
    <w:p w14:paraId="4FF23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各区民政局，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市社会福利事业管理处、市养老服务事务中心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 w14:paraId="528B5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为贯彻落实《中共中央 国务院关于深化养老服务改革发展的意见》和《国家积极应对人口老龄化中长期规划》，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进一步推进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u w:val="none"/>
          <w:lang w:val="en-US" w:eastAsia="zh-CN"/>
        </w:rPr>
        <w:t>我市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养老机构护理型床位建设发展，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市民政局制定了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u w:val="none"/>
          <w:lang w:val="en-US" w:eastAsia="zh-CN"/>
        </w:rPr>
        <w:t>《天津市养老机构护理型床位设置指引》，现印发给你们，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并就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有关要求通知如下：</w:t>
      </w:r>
    </w:p>
    <w:p w14:paraId="33BFA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一、目标任务</w:t>
      </w:r>
    </w:p>
    <w:p w14:paraId="3EDAB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32"/>
          <w:u w:val="none"/>
        </w:rPr>
        <w:t>到</w:t>
      </w:r>
      <w:r>
        <w:rPr>
          <w:rFonts w:hint="default" w:ascii="Times New Roman" w:hAnsi="Times New Roman" w:eastAsia="仿宋" w:cs="Times New Roman"/>
          <w:strike w:val="0"/>
          <w:color w:val="auto"/>
          <w:sz w:val="32"/>
          <w:szCs w:val="32"/>
          <w:u w:val="none"/>
        </w:rPr>
        <w:t>202</w:t>
      </w:r>
      <w:r>
        <w:rPr>
          <w:rFonts w:hint="eastAsia" w:ascii="Times New Roman" w:hAnsi="Times New Roman" w:eastAsia="仿宋" w:cs="Times New Roman"/>
          <w:strike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trike w:val="0"/>
          <w:color w:val="auto"/>
          <w:sz w:val="32"/>
          <w:szCs w:val="32"/>
          <w:u w:val="none"/>
        </w:rPr>
        <w:t>年</w:t>
      </w:r>
      <w:r>
        <w:rPr>
          <w:rFonts w:hint="eastAsia" w:eastAsia="仿宋" w:cs="Times New Roman"/>
          <w:strike w:val="0"/>
          <w:color w:val="auto"/>
          <w:sz w:val="32"/>
          <w:szCs w:val="32"/>
          <w:u w:val="none"/>
          <w:lang w:eastAsia="zh-CN"/>
        </w:rPr>
        <w:t>底</w:t>
      </w:r>
      <w:r>
        <w:rPr>
          <w:rFonts w:hint="eastAsia" w:ascii="Times New Roman" w:hAnsi="Times New Roman" w:eastAsia="仿宋" w:cs="Times New Roman"/>
          <w:strike w:val="0"/>
          <w:color w:val="auto"/>
          <w:sz w:val="32"/>
          <w:szCs w:val="32"/>
          <w:u w:val="none"/>
        </w:rPr>
        <w:t>，全市养老机构护理型床位达到总床位数的60%</w:t>
      </w:r>
      <w:r>
        <w:rPr>
          <w:rFonts w:hint="eastAsia" w:ascii="Times New Roman" w:hAnsi="Times New Roman" w:eastAsia="仿宋" w:cs="Times New Roman"/>
          <w:strike w:val="0"/>
          <w:color w:val="auto"/>
          <w:sz w:val="32"/>
          <w:szCs w:val="32"/>
          <w:u w:val="none"/>
          <w:lang w:val="en-US" w:eastAsia="zh-CN"/>
        </w:rPr>
        <w:t>以上；</w:t>
      </w:r>
      <w:r>
        <w:rPr>
          <w:rFonts w:hint="eastAsia" w:ascii="Times New Roman" w:hAnsi="Times New Roman" w:eastAsia="仿宋" w:cs="Times New Roman"/>
          <w:strike w:val="0"/>
          <w:dstrike w:val="0"/>
          <w:color w:val="auto"/>
          <w:sz w:val="32"/>
          <w:szCs w:val="32"/>
          <w:u w:val="none"/>
          <w:lang w:val="en-US" w:eastAsia="zh-CN"/>
        </w:rPr>
        <w:t>到</w:t>
      </w:r>
      <w:r>
        <w:rPr>
          <w:rFonts w:hint="eastAsia" w:ascii="Times New Roman" w:hAnsi="Times New Roman" w:eastAsia="仿宋" w:cs="Times New Roman"/>
          <w:strike w:val="0"/>
          <w:color w:val="auto"/>
          <w:sz w:val="32"/>
          <w:szCs w:val="32"/>
          <w:u w:val="none"/>
          <w:lang w:val="en-US" w:eastAsia="zh-CN"/>
        </w:rPr>
        <w:t>2027年</w:t>
      </w:r>
      <w:r>
        <w:rPr>
          <w:rFonts w:hint="eastAsia" w:eastAsia="仿宋" w:cs="Times New Roman"/>
          <w:strike w:val="0"/>
          <w:color w:val="auto"/>
          <w:sz w:val="32"/>
          <w:szCs w:val="32"/>
          <w:u w:val="none"/>
          <w:lang w:eastAsia="zh-CN"/>
        </w:rPr>
        <w:t>底</w:t>
      </w:r>
      <w:r>
        <w:rPr>
          <w:rFonts w:hint="eastAsia" w:ascii="Times New Roman" w:hAnsi="Times New Roman" w:eastAsia="仿宋" w:cs="Times New Roman"/>
          <w:strike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trike w:val="0"/>
          <w:color w:val="auto"/>
          <w:sz w:val="32"/>
          <w:szCs w:val="32"/>
          <w:u w:val="none"/>
        </w:rPr>
        <w:t>全市养老机构护理型床位达到总床位数的</w:t>
      </w:r>
      <w:r>
        <w:rPr>
          <w:rFonts w:hint="eastAsia" w:ascii="Times New Roman" w:hAnsi="Times New Roman" w:eastAsia="仿宋" w:cs="Times New Roman"/>
          <w:strike w:val="0"/>
          <w:color w:val="auto"/>
          <w:sz w:val="32"/>
          <w:szCs w:val="32"/>
          <w:u w:val="none"/>
          <w:lang w:val="en-US" w:eastAsia="zh-CN"/>
        </w:rPr>
        <w:t>70</w:t>
      </w:r>
      <w:r>
        <w:rPr>
          <w:rFonts w:hint="eastAsia" w:ascii="Times New Roman" w:hAnsi="Times New Roman" w:eastAsia="仿宋" w:cs="Times New Roman"/>
          <w:strike w:val="0"/>
          <w:color w:val="auto"/>
          <w:sz w:val="32"/>
          <w:szCs w:val="32"/>
          <w:u w:val="none"/>
        </w:rPr>
        <w:t>%</w:t>
      </w:r>
      <w:r>
        <w:rPr>
          <w:rFonts w:hint="eastAsia" w:ascii="Times New Roman" w:hAnsi="Times New Roman" w:eastAsia="仿宋" w:cs="Times New Roman"/>
          <w:strike w:val="0"/>
          <w:color w:val="auto"/>
          <w:sz w:val="32"/>
          <w:szCs w:val="32"/>
          <w:u w:val="none"/>
          <w:lang w:val="en-US" w:eastAsia="zh-CN"/>
        </w:rPr>
        <w:t>以上；</w:t>
      </w:r>
      <w:r>
        <w:rPr>
          <w:rFonts w:hint="eastAsia" w:ascii="Times New Roman" w:hAnsi="Times New Roman" w:eastAsia="仿宋" w:cs="Times New Roman"/>
          <w:strike w:val="0"/>
          <w:dstrike w:val="0"/>
          <w:color w:val="auto"/>
          <w:sz w:val="32"/>
          <w:szCs w:val="32"/>
          <w:u w:val="none"/>
          <w:lang w:val="en-US" w:eastAsia="zh-CN"/>
        </w:rPr>
        <w:t>到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2035年</w:t>
      </w:r>
      <w:r>
        <w:rPr>
          <w:rFonts w:hint="eastAsia" w:eastAsia="仿宋" w:cs="Times New Roman"/>
          <w:color w:val="auto"/>
          <w:sz w:val="32"/>
          <w:szCs w:val="32"/>
          <w:u w:val="none"/>
          <w:lang w:eastAsia="zh-CN"/>
        </w:rPr>
        <w:t>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</w:rPr>
        <w:t>全市养老机构护理型床位达到总床位数的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80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</w:rPr>
        <w:t>%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以上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</w:rPr>
        <w:t>。各区应根据本市护理型床位建设总目标，研究制定本区护理型床位规划目标和年度建设计划。对存量养老机构开展护理型床位改造，对新增养老机构加大护理型床位设置比例，政府投资新建、改建、扩建的养老机构原则上全部设置为护理型床位。</w:t>
      </w:r>
    </w:p>
    <w:p w14:paraId="3C16B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设置标准</w:t>
      </w:r>
    </w:p>
    <w:p w14:paraId="67877D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rtlGutter w:val="0"/>
          <w:docGrid w:type="lines" w:linePitch="315" w:charSpace="0"/>
        </w:sectPr>
      </w:pPr>
    </w:p>
    <w:p w14:paraId="3447DA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养老机构设置护理型床位，在建筑设计、设施设备、人员配备等方面应达到一定标准，具体参照《天津市养老机构护理型床位设置指引》（详见附件）。</w:t>
      </w:r>
    </w:p>
    <w:p w14:paraId="3691B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</w:rPr>
        <w:t>按照《老年养护院建设标准》</w:t>
      </w:r>
      <w:r>
        <w:rPr>
          <w:rFonts w:hint="eastAsia" w:eastAsia="仿宋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</w:rPr>
        <w:t>建标144—2010</w:t>
      </w:r>
      <w:r>
        <w:rPr>
          <w:rFonts w:hint="eastAsia" w:eastAsia="仿宋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</w:rPr>
        <w:t>建设的养老机构，以及按照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本市相关要求设置的认知障碍照护床位，其床位均纳入护理型床位范围。以失能老年人照护为重点，增加护理型床位供给，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强化失能失智老人照护服务，新建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养老机构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护理型床位占比原则不低于80%。</w:t>
      </w:r>
    </w:p>
    <w:p w14:paraId="69C30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三、服务要求</w:t>
      </w:r>
    </w:p>
    <w:p w14:paraId="0D008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护理型床位应收住经评估达到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轻度及以上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失能等级或认知障碍等级的老年人。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养老机构应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根据老年人照护等级及认知障碍评估等级确定日常照护、医疗护理、康复训练、健康管理等服务内容并制定照护计划，部分服务项目可由第三方专业机构提供。护理型床位的服务内容主要包括但不限于以下内容：</w:t>
      </w:r>
    </w:p>
    <w:p w14:paraId="24F05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日常照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</w:rPr>
        <w:t>护服务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</w:rPr>
        <w:t>其内容、要求应符合《养老机构生活照料操作规范》</w:t>
      </w:r>
      <w:r>
        <w:rPr>
          <w:rFonts w:hint="eastAsia" w:eastAsia="仿宋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M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</w:rPr>
        <w:t>Z/T171—202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eastAsia="仿宋" w:cs="Times New Roman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、《养老机构服务质量规范》</w:t>
      </w:r>
      <w:r>
        <w:rPr>
          <w:rFonts w:hint="eastAsia" w:eastAsia="仿宋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DB12∕T526—2019</w:t>
      </w:r>
      <w:r>
        <w:rPr>
          <w:rFonts w:hint="eastAsia" w:eastAsia="仿宋" w:cs="Times New Roman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</w:rPr>
        <w:t>规定。</w:t>
      </w:r>
    </w:p>
    <w:p w14:paraId="7633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医疗护理服务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其项目、流程及注意事项等应符合卫生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健康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部门相关规定。</w:t>
      </w:r>
    </w:p>
    <w:p w14:paraId="0AC80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开展包括语言、吞咽、肢体、认知等功能的康复训练，保护并改善老年人肢体残存功能，减轻后遗功能障碍程度。</w:t>
      </w:r>
    </w:p>
    <w:p w14:paraId="0FD52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建立健康档案和慢性病管理制度，对健康状况变化进行动态跟踪记录，开展预防保健知识宣传教育。</w:t>
      </w:r>
    </w:p>
    <w:p w14:paraId="43B7D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做好防止噎食、误食、压疮、烫伤、坠床、跌倒、他伤和自伤、感染、活动意外等安全照护，建立相应的安全管理体系、风险防范制度，制定突发事件处理应急预案。</w:t>
      </w:r>
    </w:p>
    <w:p w14:paraId="3F4CD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四、认定与扶持</w:t>
      </w:r>
    </w:p>
    <w:p w14:paraId="7860C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各区民政部门根据《天津市养老机构护理型床位设置指引》，对护理型床位进行核验和认定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并填写《养老机构护理型床位备案表》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 w14:paraId="55120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鼓励各区积极筹措资金，加大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对护理型床位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补贴力度，推进本区护理型床位建设。</w:t>
      </w:r>
    </w:p>
    <w:p w14:paraId="187E1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五、加强管理</w:t>
      </w:r>
    </w:p>
    <w:p w14:paraId="23A87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市民政局负责对全市养老机构护理型床位建设的统筹指导、标准制定、监督检查、补贴实施与监管等。各区民政局做好本区护理型床位的规划、建设、认定与日常管理、补贴实施与监管等工作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加强对护理型床位的数据统计、监测分析，及时研究工作推进中的相关问题，推进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市护理型床位加快发展。</w:t>
      </w:r>
    </w:p>
    <w:p w14:paraId="74D8B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 w14:paraId="4A4AF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附件：天津市养老机构护理型床位设置指引</w:t>
      </w:r>
    </w:p>
    <w:p w14:paraId="333D96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35A84B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666D23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53B4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2025年</w:t>
      </w:r>
      <w:r>
        <w:rPr>
          <w:rFonts w:hint="default" w:eastAsia="仿宋_GB2312" w:cs="Times New Roman"/>
          <w:color w:val="auto"/>
          <w:sz w:val="32"/>
          <w:szCs w:val="32"/>
          <w:u w:val="none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default" w:eastAsia="仿宋_GB2312" w:cs="Times New Roman"/>
          <w:color w:val="auto"/>
          <w:sz w:val="32"/>
          <w:szCs w:val="32"/>
          <w:u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</w:t>
      </w:r>
    </w:p>
    <w:p w14:paraId="3D82CE06"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（此件主动公开）</w:t>
      </w:r>
    </w:p>
    <w:p w14:paraId="7384B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1696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FA98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86B4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A0DF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50C08"/>
    <w:rsid w:val="2C4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2025-09-12T09:41:00Z</dcterms:created>
  <dc:creator>sai</dc:creator>
  <cp:lastModifiedBy>sai</cp:lastModifiedBy>
  <dcterms:modified xsi:type="dcterms:W3CDTF">2025-09-12T09:46:59Z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19CBF269AA4145EE8D4CA1EF03FDA9B4_11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