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9B00B">
      <w:pPr>
        <w:widowControl/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件3</w:t>
      </w:r>
    </w:p>
    <w:p w14:paraId="5390E372">
      <w:pPr>
        <w:widowControl/>
        <w:spacing w:line="560" w:lineRule="exact"/>
        <w:ind w:firstLine="64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09C2D1F">
      <w:pPr>
        <w:adjustRightInd/>
        <w:snapToGrid/>
        <w:spacing w:line="56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市属民办非企业单位2024年度财务审计</w:t>
      </w:r>
    </w:p>
    <w:p w14:paraId="2B14ACC0">
      <w:pPr>
        <w:adjustRightInd/>
        <w:snapToGrid/>
        <w:spacing w:line="56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报告要求</w:t>
      </w:r>
      <w:bookmarkEnd w:id="0"/>
    </w:p>
    <w:p w14:paraId="4B5DEC95">
      <w:pPr>
        <w:pStyle w:val="2"/>
        <w:adjustRightInd/>
        <w:snapToGrid/>
        <w:spacing w:line="560" w:lineRule="exact"/>
        <w:ind w:firstLine="480"/>
        <w:rPr>
          <w:rFonts w:hint="eastAsia" w:ascii="宋体" w:hAnsi="宋体" w:cs="宋体"/>
          <w:sz w:val="24"/>
          <w:szCs w:val="24"/>
          <w:highlight w:val="yellow"/>
        </w:rPr>
      </w:pPr>
    </w:p>
    <w:p w14:paraId="44BDBCCF">
      <w:pPr>
        <w:pStyle w:val="2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一、民办非企业单位为非营利性社会组织，区别于企业、公司等营利性组织，也区别于政府机关、事业单位等非营利性组织，审计机构在承接民办非企业单位年度财务审计业务时，应熟知民办非企业单位相关政策，以提高出具的审计报告质量。</w:t>
      </w:r>
    </w:p>
    <w:p w14:paraId="7FF374D3">
      <w:pPr>
        <w:pStyle w:val="2"/>
        <w:adjustRightInd/>
        <w:snapToGrid/>
        <w:spacing w:line="560" w:lineRule="exact"/>
        <w:ind w:firstLine="64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二、审计机构应严格按照审计准则的规定，执行审计工作，形成规范全面的工作底稿，并及时出具审计报告。</w:t>
      </w:r>
    </w:p>
    <w:p w14:paraId="591B7629">
      <w:pPr>
        <w:pStyle w:val="2"/>
        <w:adjustRightInd/>
        <w:snapToGrid/>
        <w:spacing w:line="560" w:lineRule="exact"/>
        <w:ind w:firstLine="64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三、市属民办非企业单位年度审计的主要内容</w:t>
      </w:r>
    </w:p>
    <w:p w14:paraId="67D93144">
      <w:pPr>
        <w:adjustRightInd/>
        <w:snapToGrid/>
        <w:spacing w:line="560" w:lineRule="exact"/>
        <w:ind w:firstLine="640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制度制定和执行情况：财务制度、资产管理制度等的制定和执行情况。</w:t>
      </w:r>
    </w:p>
    <w:p w14:paraId="0C5A41F1">
      <w:pPr>
        <w:adjustRightInd/>
        <w:snapToGrid/>
        <w:spacing w:line="560" w:lineRule="exact"/>
        <w:ind w:firstLine="64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银行账户开立及管理情况：通过查询并打印《已开立银行结算账户清单》，对银行账户的完整性进行审验；账户管理情况。</w:t>
      </w:r>
    </w:p>
    <w:p w14:paraId="7212F4D5">
      <w:pPr>
        <w:adjustRightInd/>
        <w:snapToGrid/>
        <w:spacing w:line="560" w:lineRule="exact"/>
        <w:ind w:firstLine="64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财务资产管理情况：会计核算和财务管理是否符合《中华人民共和国会计法》和《民间非营利组织会计制度》的相关要求；会计报表的真实性、完整性、公允性；资金收支、资产管理和投资管理情况；票据使用管理情况等。</w:t>
      </w:r>
    </w:p>
    <w:p w14:paraId="0BBEAE1A">
      <w:pPr>
        <w:adjustRightInd/>
        <w:snapToGrid/>
        <w:spacing w:line="560" w:lineRule="exact"/>
        <w:ind w:firstLine="640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收费情况。</w:t>
      </w:r>
    </w:p>
    <w:p w14:paraId="11E572D0">
      <w:pPr>
        <w:adjustRightInd/>
        <w:snapToGrid/>
        <w:spacing w:line="560" w:lineRule="exact"/>
        <w:ind w:firstLine="640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政府购买服务的实施与管理情况。</w:t>
      </w:r>
    </w:p>
    <w:p w14:paraId="70DC1DF8">
      <w:pPr>
        <w:pStyle w:val="2"/>
        <w:adjustRightInd/>
        <w:snapToGrid/>
        <w:spacing w:line="560" w:lineRule="exact"/>
        <w:ind w:firstLine="640"/>
        <w:rPr>
          <w:rFonts w:ascii="Times New Roman" w:hAnsi="Times New Roman" w:eastAsia="仿宋_GB2312" w:cs="仿宋_GB2312"/>
          <w:kern w:val="0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Cs w:val="32"/>
        </w:rPr>
        <w:t>6.</w:t>
      </w:r>
      <w:r>
        <w:rPr>
          <w:rFonts w:hint="eastAsia" w:ascii="Times New Roman" w:hAnsi="Times New Roman" w:eastAsia="仿宋_GB2312" w:cs="仿宋_GB2312"/>
          <w:kern w:val="0"/>
          <w:szCs w:val="32"/>
        </w:rPr>
        <w:t>境外资金的接收情况。</w:t>
      </w:r>
    </w:p>
    <w:p w14:paraId="667C09F3">
      <w:pPr>
        <w:adjustRightInd/>
        <w:snapToGrid/>
        <w:spacing w:line="560" w:lineRule="exact"/>
        <w:ind w:firstLine="640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7.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负责人和工作人员获得的薪金等报酬情况。</w:t>
      </w:r>
    </w:p>
    <w:p w14:paraId="75222324">
      <w:pPr>
        <w:adjustRightInd/>
        <w:snapToGrid/>
        <w:spacing w:line="560" w:lineRule="exact"/>
        <w:ind w:firstLine="640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8.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是否遵守非营利性要求情况。</w:t>
      </w:r>
    </w:p>
    <w:p w14:paraId="39AF51AB">
      <w:pPr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是否存在其他违反《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中华人民共和国会计法》《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民间非营利组织会计制度》和民办非企业单位管理规定的行为。</w:t>
      </w:r>
    </w:p>
    <w:p w14:paraId="0EE72ABC">
      <w:pPr>
        <w:adjustRightInd/>
        <w:snapToGrid/>
        <w:spacing w:line="56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审计机构应当将年度审计内容以适当方式在审计报告中进行描述，报告中每个项目应描述清楚【应收账款要写清具体情况，对账龄进行分析，分析可实现程度等；固定资产要列出固定资产明细（包括固定资产名称、成本、购买时间、折旧年限、累计折旧、净值等）；投资要描述被投资方的现状；...】，力求报告使用者（业务主管单位、登记管理机关、社团理事等）全面准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掌握被审计单位审计情况。</w:t>
      </w:r>
    </w:p>
    <w:p w14:paraId="560EADA5">
      <w:pPr>
        <w:adjustRightInd/>
        <w:snapToGrid/>
        <w:spacing w:line="560" w:lineRule="exact"/>
        <w:ind w:firstLine="480"/>
        <w:rPr>
          <w:rFonts w:hint="eastAsia" w:ascii="宋体" w:hAnsi="宋体" w:cs="宋体"/>
          <w:sz w:val="24"/>
          <w:szCs w:val="24"/>
        </w:rPr>
      </w:pPr>
    </w:p>
    <w:p w14:paraId="2C66A2EE">
      <w:pPr>
        <w:pStyle w:val="2"/>
        <w:adjustRightInd/>
        <w:snapToGrid/>
        <w:spacing w:line="560" w:lineRule="exact"/>
        <w:ind w:firstLine="480"/>
        <w:rPr>
          <w:rFonts w:hint="eastAsia" w:ascii="宋体" w:hAnsi="宋体" w:cs="宋体"/>
          <w:sz w:val="24"/>
          <w:szCs w:val="24"/>
          <w:highlight w:val="yellow"/>
        </w:rPr>
      </w:pPr>
    </w:p>
    <w:p w14:paraId="1144044F">
      <w:pPr>
        <w:adjustRightInd/>
        <w:snapToGrid/>
        <w:spacing w:line="560" w:lineRule="exact"/>
        <w:ind w:firstLine="0" w:firstLineChars="0"/>
        <w:rPr>
          <w:rFonts w:ascii="宋体" w:hAnsi="宋体" w:cs="宋体"/>
          <w:sz w:val="24"/>
          <w:szCs w:val="24"/>
        </w:rPr>
      </w:pPr>
    </w:p>
    <w:p w14:paraId="2873D340">
      <w:pPr>
        <w:spacing w:line="560" w:lineRule="exact"/>
        <w:ind w:firstLine="0" w:firstLineChars="0"/>
        <w:rPr>
          <w:rFonts w:ascii="Times New Roman" w:hAnsi="Times New Roman"/>
        </w:rPr>
      </w:pPr>
    </w:p>
    <w:p w14:paraId="2917DA24">
      <w:pPr>
        <w:spacing w:line="560" w:lineRule="exact"/>
        <w:ind w:firstLine="560"/>
        <w:rPr>
          <w:rFonts w:ascii="Times New Roman" w:hAnsi="Times New Roman"/>
        </w:rPr>
      </w:pPr>
    </w:p>
    <w:p w14:paraId="1A0B93CD">
      <w:pPr>
        <w:spacing w:line="560" w:lineRule="exact"/>
        <w:ind w:firstLine="560"/>
        <w:rPr>
          <w:rFonts w:ascii="Times New Roman" w:hAnsi="Times New Roman"/>
        </w:rPr>
      </w:pPr>
    </w:p>
    <w:p w14:paraId="37450AE8"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234B6D9D">
      <w:pPr>
        <w:ind w:firstLine="560"/>
      </w:pPr>
    </w:p>
    <w:p w14:paraId="0EF1156D"/>
    <w:sectPr>
      <w:footerReference r:id="rId5" w:type="default"/>
      <w:pgSz w:w="11906" w:h="16838"/>
      <w:pgMar w:top="2098" w:right="1587" w:bottom="1701" w:left="1474" w:header="851" w:footer="992" w:gutter="0"/>
      <w:pgNumType w:start="2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D8AC866-2181-4D8A-BDCA-526D10B036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622B8F8-95E1-4089-9A50-F9C74441094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2BD070F-10A0-4311-A9D7-7CEFB1CE390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726872A-BF86-4B12-97A2-91AA4AC989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8CBF4B2-5A1E-4E44-A09F-0091BD2ECC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60C14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E3111A">
                          <w:pPr>
                            <w:pStyle w:val="3"/>
                            <w:ind w:firstLine="0" w:firstLineChars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E3111A">
                    <w:pPr>
                      <w:pStyle w:val="3"/>
                      <w:ind w:firstLine="0" w:firstLineChars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60"/>
      </w:pPr>
      <w:r>
        <w:separator/>
      </w:r>
    </w:p>
  </w:footnote>
  <w:footnote w:type="continuationSeparator" w:id="1">
    <w:p>
      <w:pPr>
        <w:spacing w:line="30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C0186"/>
    <w:rsid w:val="235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200" w:firstLineChars="200"/>
      <w:jc w:val="both"/>
    </w:pPr>
    <w:rPr>
      <w:rFonts w:ascii="等线" w:hAnsi="等线" w:eastAsia="宋体" w:cs="等线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1648" w:firstLineChars="200"/>
    </w:pPr>
    <w:rPr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2025-02-24T06:29:00Z</dcterms:created>
  <dc:creator>sai</dc:creator>
  <cp:lastModifiedBy>sai</cp:lastModifiedBy>
  <dcterms:modified xsi:type="dcterms:W3CDTF">2025-02-24T06:30:21Z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83DC74E8C08F42F5883F984434C7D8EB_11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