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6E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天津市民政局 天津市财政局关于印发《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天津市养老机构补贴管理办法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的通知</w:t>
      </w:r>
    </w:p>
    <w:p w14:paraId="7E14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仿宋" w:cs="微软雅黑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Hlk175661636"/>
    </w:p>
    <w:p w14:paraId="241AE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仿宋" w:cs="微软雅黑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微软雅黑" w:hAnsi="微软雅黑" w:eastAsia="仿宋" w:cs="微软雅黑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各区民政局</w:t>
      </w:r>
      <w:r>
        <w:rPr>
          <w:rFonts w:hint="eastAsia" w:ascii="微软雅黑" w:hAnsi="微软雅黑" w:eastAsia="仿宋" w:cs="微软雅黑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、财政局：</w:t>
      </w:r>
    </w:p>
    <w:p w14:paraId="69619C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>为鼓励养老机构健康有序发展，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进一步明确和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>规范养老机构补贴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标准及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申领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>程序，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提升民政部门服务与监管效能，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>根据《养老机构管理办法》《天津市养老服务促进条例》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>相关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政策法规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市民政局会同市财政局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制定了《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天津市养老机构补贴管理办法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》，现印发给你们，请认真遵照执行。</w:t>
      </w:r>
    </w:p>
    <w:p w14:paraId="506233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4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在执行过程中的重要情况和建议，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请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eastAsia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报送市民政局、市财政局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bookmarkStart w:id="1" w:name="_GoBack"/>
      <w:bookmarkEnd w:id="1"/>
    </w:p>
    <w:p w14:paraId="0E557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 w14:paraId="691C9C18">
      <w:pPr>
        <w:pStyle w:val="2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 w14:paraId="05E35A93">
      <w:pPr>
        <w:pStyle w:val="2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</w:p>
    <w:p w14:paraId="0B3E3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天津市民政局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cs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天津市财政局</w:t>
      </w:r>
    </w:p>
    <w:p w14:paraId="22360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202</w:t>
      </w:r>
      <w:r>
        <w:rPr>
          <w:rFonts w:hint="eastAsia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cs="仿宋"/>
          <w:sz w:val="32"/>
          <w:szCs w:val="32"/>
          <w:lang w:val="en-US" w:eastAsia="zh-CN"/>
        </w:rPr>
        <w:t>1</w:t>
      </w:r>
      <w:r>
        <w:rPr>
          <w:rFonts w:hint="eastAsia" w:cs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p w14:paraId="487C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（此件主动公开）</w:t>
      </w:r>
    </w:p>
    <w:bookmarkEnd w:id="0"/>
    <w:p w14:paraId="2D24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36218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4686A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0969E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55D52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07065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481B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0169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1D771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50B2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4D88B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00EA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6C47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7D927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7CD9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0BAE31CE"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259FA3AA"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078E6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7C9F3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77B0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43660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</w:p>
    <w:p w14:paraId="66949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天津市养老机构补贴管理办法</w:t>
      </w:r>
    </w:p>
    <w:p w14:paraId="24A1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</w:p>
    <w:p w14:paraId="4233D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第一章  总则</w:t>
      </w:r>
    </w:p>
    <w:p w14:paraId="5DB94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第一条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为鼓励养老机构健康有序发展，明确养老机构补贴标准，规范养老机构补贴的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申领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程序，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提升民政部门服务与监管效能，促进养老机构高质量发展，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根据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中华人民共和国老年人权益保障法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《养老机构管理办法》（民政部令第66号）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《天津市养老服务促进条例》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等法律法规和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相关规定，结合实际，制定本办法。</w:t>
      </w:r>
    </w:p>
    <w:p w14:paraId="46D5D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第二条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养老机构补贴包括养老机构建设补贴和养老机构运营补贴。</w:t>
      </w:r>
    </w:p>
    <w:p w14:paraId="29EDB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</w:p>
    <w:p w14:paraId="2A7E1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第二章  养老机构建设补贴标准及认定</w:t>
      </w:r>
    </w:p>
    <w:p w14:paraId="7E200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第三条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鼓励区、乡镇人民政府和社会力量以多种方式兴办养老机构，对符合规定的公办、民办非营利性养老机构根据机构性质、建设类型等给予一次性建设补贴。</w:t>
      </w:r>
    </w:p>
    <w:p w14:paraId="2C4A2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第四条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公产产权设施，登记为事业单位养老机构且有相应编制的，经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区民政局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备案并经市民政局组织评估合格的，给予每张床位3万元建设补贴，补贴资金由市级财政负担。具体包括以下三种设施：</w:t>
      </w:r>
    </w:p>
    <w:p w14:paraId="2366F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（一）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区、乡镇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政府或区民政部门牵头规划兴建的；</w:t>
      </w:r>
    </w:p>
    <w:p w14:paraId="067F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（二）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区、乡镇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政府或区民政部门出资购置的；</w:t>
      </w:r>
    </w:p>
    <w:p w14:paraId="37599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（三）调配其他政府产权房屋作为养老服务设施，交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区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民政部门管理的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。</w:t>
      </w:r>
    </w:p>
    <w:p w14:paraId="441E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下列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养老服务设施登记为养老机构，经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区民政局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备案和市民政局组织评估合格的，给予每张床位1.2万元建设补贴，补贴资金由市级财政负担。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具体包括：</w:t>
      </w:r>
    </w:p>
    <w:p w14:paraId="2ED5A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（一）政府或民政部门接收的新建住宅小区配建养老服务设施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建筑面积在2000平方米以上的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；</w:t>
      </w:r>
    </w:p>
    <w:p w14:paraId="06CA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（二）政府或民政部门租赁房屋作为养老服务设施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；</w:t>
      </w:r>
    </w:p>
    <w:p w14:paraId="11BFB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（三）公办养老机构改扩建的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。</w:t>
      </w:r>
    </w:p>
    <w:p w14:paraId="29DE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其他设施登记为养老机构享受本条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规定的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补贴标准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应由市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民政局和市财政局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共同商定。</w:t>
      </w:r>
    </w:p>
    <w:p w14:paraId="5BF9F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企业、社会组织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或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个人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社会力量兴办的非营利性养老机构，养老机构法定代表人与养老机构房屋产权人为同一人的，经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区民政局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备案和市民政局组织评估合格的，给予每张床位1.5万元建设补贴。</w:t>
      </w:r>
    </w:p>
    <w:p w14:paraId="3C3DB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补贴资金由市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级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财政负担1.3万元，区级财政负担0.2万元。</w:t>
      </w:r>
    </w:p>
    <w:p w14:paraId="6458C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企业、社会组织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或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个人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社会力量租赁房屋登记为非营利性养老机构，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且租赁协议明确的租期超过5年的，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经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区民政局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备案和市民政局组织评估合格的，给予每张床位0.6万元建设补贴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。</w:t>
      </w:r>
    </w:p>
    <w:p w14:paraId="7C16D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补贴资金由市级财政负担0.5万元，区级财政负担0.1万元。</w:t>
      </w:r>
    </w:p>
    <w:p w14:paraId="07D36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下列情形可以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按照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本办法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七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规定的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标准申请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建设补贴：</w:t>
      </w:r>
    </w:p>
    <w:p w14:paraId="2030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（一）已享受建设补贴的社会力量办非营利性养老机构，增建房屋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用于养老服务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的；</w:t>
      </w:r>
    </w:p>
    <w:p w14:paraId="538B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（二）无法取得规划许可和不动产权登记证（房屋产权证）的农村集体建设用地房屋用作养老机构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按照相关规定在区级民政部门备案的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。</w:t>
      </w:r>
    </w:p>
    <w:p w14:paraId="691C3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养老机构享受建设补贴的床位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数量根据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该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机构的建筑面积进行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核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算。</w:t>
      </w:r>
    </w:p>
    <w:p w14:paraId="52E38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建筑面积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每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30平方米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按照1张床位核算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建筑面积不足30平方米的部分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不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计入床位数量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。</w:t>
      </w:r>
    </w:p>
    <w:p w14:paraId="2D10A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养老机构申请建设补贴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建筑面积，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具体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按照下列方法确定：</w:t>
      </w:r>
    </w:p>
    <w:p w14:paraId="662DB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（一）符合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条、第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中第（三）项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、第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六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条、第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八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中第（一）项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规定的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，按照养老机构的不动产权登记证（房屋产权证）标明的建筑面积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确定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；</w:t>
      </w:r>
    </w:p>
    <w:p w14:paraId="58537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（二）符合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（一）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项规定的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，按照政府或民政部门接收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服务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设施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正式手续中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明确的建筑面积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确定；</w:t>
      </w:r>
    </w:p>
    <w:p w14:paraId="04138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（三）符合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中第（二）项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、第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七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规定的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，按照用作养老机构的不动产权登记证（房屋产权证）和房屋租赁合同确定；</w:t>
      </w:r>
    </w:p>
    <w:p w14:paraId="60C3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（四）符合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八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中第（二）项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规定的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，按照建筑平面图和实地测量结果确定。</w:t>
      </w:r>
    </w:p>
    <w:p w14:paraId="05A12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十一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医疗机构内设非营利性养老机构的，在民政部门备案后按照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实际开展养老服务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的建筑面积核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算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床位数。</w:t>
      </w:r>
    </w:p>
    <w:p w14:paraId="086D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非营利性养老机构内设医疗机构不对外经营的，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按照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总建筑面积核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算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床位数；对外经营的，按照养老机构区域的建筑面积核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算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床位数。</w:t>
      </w:r>
    </w:p>
    <w:p w14:paraId="1766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十二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养老机构内面向社区居家老年人开展养老服务的场所建筑面积，可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列入测算面积，计算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床位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。</w:t>
      </w:r>
    </w:p>
    <w:p w14:paraId="17DEB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同一房产不重复享受本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章规定的养老机构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建设补贴。</w:t>
      </w:r>
    </w:p>
    <w:p w14:paraId="3DF77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</w:p>
    <w:p w14:paraId="5F48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 xml:space="preserve">第三章 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养老机构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建设补贴的申领和发放</w:t>
      </w:r>
    </w:p>
    <w:p w14:paraId="79D39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申请养老机构建设补贴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，由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养老机构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向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区民政局提出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申请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。</w:t>
      </w:r>
    </w:p>
    <w:p w14:paraId="4C053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申请养老机构建设补贴，需提供养老机构备案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及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消防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设计审验合格或消防备案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材料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，同时提供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以下材料：</w:t>
      </w:r>
    </w:p>
    <w:p w14:paraId="5CF51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一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（一）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规定的，需提交规划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材料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、不动产权登记证（房屋产权证）、事业单位法人证书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；</w:t>
      </w:r>
    </w:p>
    <w:p w14:paraId="0C73D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二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第（二）项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规定的，需提交购置凭证、不动产权登记证（房屋产权证）、事业单位法人证书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；</w:t>
      </w:r>
    </w:p>
    <w:p w14:paraId="276D0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三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第（三）项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规定的，需提交不动产权登记证（房屋产权证）、事业单位法人证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、政府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集体研究的会议纪要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；</w:t>
      </w:r>
    </w:p>
    <w:p w14:paraId="7F4FC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（四）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中第（一）项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规定的，需提交房产交付凭证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养老机构法人登记证书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公建民营运营合同（委托协议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；</w:t>
      </w:r>
    </w:p>
    <w:p w14:paraId="0061F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（五）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中第（二）项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规定的，需提交不动产权登记证（房屋产权证）及租房协议、公建民营运营合同（委托协议）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；</w:t>
      </w:r>
    </w:p>
    <w:p w14:paraId="26462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（六）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中第（三）项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、第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八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第（一）项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规定的，需提交不动产权登记证（房屋产权证）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；</w:t>
      </w:r>
    </w:p>
    <w:p w14:paraId="4D9A9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（七）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六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条规定的，需提交不动产权登记证（房屋产权证）、养老机构法人登记证书及法定代表人身份证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等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；</w:t>
      </w:r>
    </w:p>
    <w:p w14:paraId="164B0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（八）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七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条规定的，需提交5年（自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取得法人登记证书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日期起算）以上房屋租赁合同、不动产权登记证（房屋产权证）、养老机构法人登记证书等；</w:t>
      </w:r>
    </w:p>
    <w:p w14:paraId="164EA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（九）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八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第（二）项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规定的，需提交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房屋安全鉴定合格证明材料、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养老机构法人登记证书、建筑平面图及实地测量材料等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；</w:t>
      </w:r>
    </w:p>
    <w:p w14:paraId="50024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（十）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符合本办法第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十一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条规定的，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分别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对应上述要求提供相应材料。</w:t>
      </w:r>
    </w:p>
    <w:p w14:paraId="1214B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区民政局负责对申报材料进行初审，初审通过后报市民政局复审。</w:t>
      </w:r>
    </w:p>
    <w:p w14:paraId="1F9E9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区民政局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将补贴资金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发放到养老机构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，所需资金由市区两级财政安排的养老服务补贴资金负担。</w:t>
      </w:r>
    </w:p>
    <w:p w14:paraId="4136B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</w:p>
    <w:p w14:paraId="51F6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第四章 养老机构运营补贴标准及认定</w:t>
      </w:r>
    </w:p>
    <w:p w14:paraId="2588F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依法登记的养老机构，报经民政部门备案后，可以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</w:rPr>
        <w:t>收住老年人人数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老年人能力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评估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eastAsia="zh-CN"/>
        </w:rPr>
        <w:t>等级申请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</w:rPr>
        <w:t>养老机构运营补贴。</w:t>
      </w:r>
    </w:p>
    <w:p w14:paraId="09A9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养老机构运营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补贴资金由市级财政负担。</w:t>
      </w:r>
    </w:p>
    <w:p w14:paraId="3940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非营利性养老机构、公建民营养老机构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收住老年人的，运营补贴核算标准如下：</w:t>
      </w:r>
    </w:p>
    <w:p w14:paraId="46BC0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（一）收住完全自理、轻度失能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老年人的，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按照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每人每月100元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进行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核算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；</w:t>
      </w:r>
    </w:p>
    <w:p w14:paraId="0567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（二）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收住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能力等级在中度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失能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及以上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老年人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的，按照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每人每月300元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进行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核算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。</w:t>
      </w:r>
    </w:p>
    <w:p w14:paraId="58A9B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highlight w:val="none"/>
          <w:lang w:val="en-US" w:eastAsia="zh-CN"/>
        </w:rPr>
        <w:t>第十八条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营利性养老机构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收住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经济困难的高龄失能老年人（低保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对象及低保边缘家庭成员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且80岁以上）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按照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每人每月300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元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  <w:t>核算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。</w:t>
      </w:r>
    </w:p>
    <w:p w14:paraId="30C4F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公办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公营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养老机构不享受养老机构运营补贴。</w:t>
      </w:r>
    </w:p>
    <w:p w14:paraId="3AB07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十九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条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老年人能力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等级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按照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《老年人能力评估规范》（GB∕T42195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-2022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确定。</w:t>
      </w:r>
    </w:p>
    <w:p w14:paraId="2DFD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区民政局应当及时对养老机构住养老年人的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能力等级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开展评估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。</w:t>
      </w:r>
    </w:p>
    <w:p w14:paraId="6C88E8F9">
      <w:pPr>
        <w:snapToGrid/>
        <w:spacing w:beforeLines="0" w:afterLines="0" w:line="550" w:lineRule="exact"/>
        <w:ind w:firstLine="640" w:firstLineChars="200"/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已经纳入本市长期护理保险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保障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范围的老年人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，入住养老机构时，以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中度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失能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及以上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等级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直接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确认。</w:t>
      </w:r>
    </w:p>
    <w:p w14:paraId="52351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已经享受我市困难老年人养老服务补贴、</w:t>
      </w:r>
      <w:r>
        <w:rPr>
          <w:rFonts w:hint="eastAsia" w:ascii="仿宋" w:hAnsi="仿宋" w:cs="仿宋"/>
          <w:color w:val="000000"/>
          <w:highlight w:val="none"/>
        </w:rPr>
        <w:t>养老护理补贴</w:t>
      </w:r>
      <w:r>
        <w:rPr>
          <w:rFonts w:hint="eastAsia" w:ascii="仿宋" w:hAnsi="仿宋" w:cs="仿宋"/>
          <w:color w:val="000000"/>
          <w:highlight w:val="none"/>
          <w:lang w:eastAsia="zh-CN"/>
        </w:rPr>
        <w:t>的</w:t>
      </w:r>
      <w:r>
        <w:rPr>
          <w:rFonts w:hint="eastAsia" w:ascii="仿宋" w:hAnsi="仿宋" w:cs="仿宋"/>
          <w:color w:val="000000"/>
          <w:highlight w:val="none"/>
          <w:lang w:val="en-US" w:eastAsia="zh-CN"/>
        </w:rPr>
        <w:t>老年人</w:t>
      </w:r>
      <w:r>
        <w:rPr>
          <w:rFonts w:hint="eastAsia" w:ascii="仿宋" w:hAnsi="仿宋" w:cs="仿宋"/>
          <w:color w:val="000000"/>
          <w:highlight w:val="none"/>
          <w:lang w:eastAsia="zh-CN"/>
        </w:rPr>
        <w:t>，</w:t>
      </w:r>
      <w:r>
        <w:rPr>
          <w:rFonts w:hint="eastAsia" w:ascii="仿宋" w:hAnsi="仿宋" w:cs="仿宋"/>
          <w:color w:val="000000"/>
          <w:highlight w:val="none"/>
          <w:lang w:val="en-US" w:eastAsia="zh-CN"/>
        </w:rPr>
        <w:t>入住养老机构时，按照对应评估等级直接确认。</w:t>
      </w:r>
    </w:p>
    <w:p w14:paraId="53CE2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highlight w:val="none"/>
          <w:lang w:val="en-US" w:eastAsia="zh-CN"/>
        </w:rPr>
        <w:t>第二十条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对老年人能力等级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首次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评估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结论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val="en-US" w:eastAsia="zh-CN"/>
        </w:rPr>
        <w:t>为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中度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失能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val="en-US" w:eastAsia="zh-CN"/>
        </w:rPr>
        <w:t>及以上的，区民政局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应当在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val="en-US" w:eastAsia="zh-CN"/>
        </w:rPr>
        <w:t>次年进行1次复审，通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过后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不再评估。</w:t>
      </w:r>
    </w:p>
    <w:p w14:paraId="3A8A2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eastAsia="zh-CN"/>
        </w:rPr>
        <w:t>条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 xml:space="preserve"> 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养老机构收住老年人人数按照养老服务合同、缴费记录和实际入住等情况认定。</w:t>
      </w:r>
    </w:p>
    <w:p w14:paraId="4E7CB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</w:pPr>
      <w:r>
        <w:rPr>
          <w:rFonts w:hint="eastAsia" w:ascii="仿宋" w:hAnsi="仿宋" w:cs="仿宋"/>
          <w:b w:val="0"/>
          <w:bCs w:val="0"/>
          <w:color w:val="000000"/>
          <w:highlight w:val="none"/>
          <w:lang w:val="en-US" w:eastAsia="zh-CN"/>
        </w:rPr>
        <w:t>享受运营补贴的养老机构收取的服务费应存入本机构基本存款账户。</w:t>
      </w:r>
    </w:p>
    <w:p w14:paraId="3FAF7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二十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养老机构运营补贴按月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核算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人入住满15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日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不足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个月的按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个月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计算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不满15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日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不纳入计算，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不享受运营补贴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。</w:t>
      </w:r>
    </w:p>
    <w:p w14:paraId="11E79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二十三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入住老年人离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院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连续满15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日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及以上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的，自老年人归院之日起，重新计算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运营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补贴。</w:t>
      </w:r>
    </w:p>
    <w:p w14:paraId="10358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二十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val="en-US" w:eastAsia="zh-CN"/>
        </w:rPr>
        <w:t>本办法第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十七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val="en-US" w:eastAsia="zh-CN"/>
        </w:rPr>
        <w:t>条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规定的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  <w:t>核算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金额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  <w:t>包括养老机构运营补贴和区民政局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发放该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  <w:t>补贴的评估经费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  <w:t>评估经费不高于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核算金额的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val="en-US" w:eastAsia="zh-CN"/>
        </w:rPr>
        <w:t>5%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  <w:t>。</w:t>
      </w:r>
    </w:p>
    <w:p w14:paraId="4966F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区级财政已安排专项评估工作经费的，不得再从上述核算金额中单独列支。</w:t>
      </w:r>
    </w:p>
    <w:p w14:paraId="615F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</w:p>
    <w:p w14:paraId="55EF0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第五章 养老机构运营补贴的申领和发放</w:t>
      </w:r>
    </w:p>
    <w:p w14:paraId="40617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eastAsia="zh-CN"/>
        </w:rPr>
        <w:t>二十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</w:rPr>
        <w:t>养老机构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申请运营补贴时，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应在市民政局指定的养老服务信息系统填报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基本信息、入住老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人信息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等，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并及时动态调整。</w:t>
      </w:r>
    </w:p>
    <w:p w14:paraId="3EFE6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第二十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</w:rPr>
        <w:t>区民政局根据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养老机构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在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信息系统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中填报的信息，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</w:rPr>
        <w:t>对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其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</w:rPr>
        <w:t>进行检查或委托第三方评估，确定养老机构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每月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运营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</w:rPr>
        <w:t>补贴金额。</w:t>
      </w:r>
    </w:p>
    <w:p w14:paraId="432B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第二十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区民政局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一般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每半年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发放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一次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养老机构运营补贴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。遇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特殊情况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，经市民政局同意，可以根据实际情况提前或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延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后发放。</w:t>
      </w:r>
    </w:p>
    <w:p w14:paraId="27B3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第二十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区民政局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应当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根据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确定的养老机构运营补贴金额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与年度养老服务补贴资金一同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申报、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结算。</w:t>
      </w:r>
    </w:p>
    <w:p w14:paraId="045423AC">
      <w:pPr>
        <w:snapToGrid/>
        <w:spacing w:beforeLines="0" w:afterLines="0" w:line="550" w:lineRule="exact"/>
        <w:ind w:firstLine="640" w:firstLineChars="200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</w:p>
    <w:p w14:paraId="66D0D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第六章 保障与监督</w:t>
      </w:r>
    </w:p>
    <w:p w14:paraId="1FFE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第二十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市和区民政部门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应当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加强养老机构补贴资金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管理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，每年对补贴资金的使用管理情况进行检查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。</w:t>
      </w:r>
    </w:p>
    <w:p w14:paraId="2C42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补贴资金实行专账核算，确保专款专用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并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自觉接受纪检监察、审计等部门的监督检查。</w:t>
      </w:r>
    </w:p>
    <w:p w14:paraId="3208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三十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区民政局应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当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加强对申请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建设补贴要件的审查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在对养老机构开展现场检查、核实备案信息过程中，发现养老机构的建筑面积与提供的申请材料有明显差距的，应进行实地测量。</w:t>
      </w:r>
    </w:p>
    <w:p w14:paraId="5405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三十一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享受建设补贴的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社会力量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兴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办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养老机构应从事养老机构服务满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年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，在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5年内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不得变更为营利性养老机构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。</w:t>
      </w:r>
    </w:p>
    <w:p w14:paraId="52F2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在规定期间内不再从事养老服务的，由民政部门责令改正；拒不改正的，责令退回养老机构建设补贴资金。</w:t>
      </w:r>
    </w:p>
    <w:p w14:paraId="5ECCC373">
      <w:pPr>
        <w:snapToGrid/>
        <w:spacing w:beforeLines="0" w:afterLines="0" w:line="550" w:lineRule="exact"/>
        <w:ind w:firstLine="640" w:firstLineChars="200"/>
        <w:outlineLvl w:val="9"/>
        <w:rPr>
          <w:rFonts w:hint="default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eastAsia="zh-CN"/>
        </w:rPr>
        <w:t>三十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区民政局应当加强对养老机构运营补贴的日常监管。</w:t>
      </w:r>
    </w:p>
    <w:p w14:paraId="54E4885F">
      <w:pPr>
        <w:snapToGrid/>
        <w:spacing w:beforeLines="0" w:afterLines="0" w:line="550" w:lineRule="exact"/>
        <w:ind w:firstLine="640" w:firstLineChars="200"/>
        <w:outlineLvl w:val="9"/>
        <w:rPr>
          <w:rFonts w:hint="eastAsia" w:eastAsia="仿宋" w:cs="Times New Roman"/>
          <w:b w:val="0"/>
          <w:bCs w:val="0"/>
          <w:color w:val="000000"/>
          <w:highlight w:val="none"/>
          <w:lang w:eastAsia="zh-CN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养老机构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发现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运营补贴申报有误的，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应当在</w:t>
      </w:r>
      <w:r>
        <w:rPr>
          <w:rFonts w:hint="eastAsia" w:cs="Times New Roman"/>
          <w:color w:val="000000"/>
          <w:highlight w:val="none"/>
        </w:rPr>
        <w:t>养老服务信息系统</w:t>
      </w:r>
      <w:r>
        <w:rPr>
          <w:rFonts w:hint="eastAsia" w:cs="Times New Roman"/>
          <w:color w:val="000000"/>
          <w:highlight w:val="none"/>
          <w:lang w:eastAsia="zh-CN"/>
        </w:rPr>
        <w:t>中</w:t>
      </w:r>
      <w:r>
        <w:rPr>
          <w:rFonts w:hint="eastAsia" w:cs="Times New Roman"/>
          <w:color w:val="000000"/>
          <w:highlight w:val="none"/>
          <w:lang w:val="en-US" w:eastAsia="zh-CN"/>
        </w:rPr>
        <w:t>及时</w:t>
      </w:r>
      <w:r>
        <w:rPr>
          <w:rFonts w:hint="eastAsia" w:cs="Times New Roman"/>
          <w:color w:val="000000"/>
          <w:highlight w:val="none"/>
          <w:lang w:eastAsia="zh-CN"/>
        </w:rPr>
        <w:t>更正。</w:t>
      </w:r>
    </w:p>
    <w:p w14:paraId="39E3A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40"/>
          <w:lang w:val="en-US" w:eastAsia="zh-CN" w:bidi="ar-SA"/>
        </w:rPr>
        <w:t>养老机构发现运营补贴领取有误，主动向区民政局报告并退回资金</w:t>
      </w:r>
      <w:r>
        <w:rPr>
          <w:rFonts w:hint="eastAsia" w:ascii="仿宋" w:hAnsi="仿宋" w:cs="仿宋"/>
          <w:color w:val="000000"/>
          <w:sz w:val="32"/>
          <w:szCs w:val="40"/>
          <w:lang w:val="en-US" w:eastAsia="zh-CN" w:bidi="ar-SA"/>
        </w:rPr>
        <w:t>，且未造成不良影响的，依法依规从轻、减轻或免于处理</w:t>
      </w:r>
      <w:r>
        <w:rPr>
          <w:rFonts w:hint="eastAsia" w:ascii="仿宋" w:hAnsi="仿宋" w:eastAsia="仿宋" w:cs="仿宋"/>
          <w:color w:val="000000"/>
          <w:sz w:val="32"/>
          <w:szCs w:val="40"/>
          <w:lang w:val="en-US" w:eastAsia="zh-CN" w:bidi="ar-SA"/>
        </w:rPr>
        <w:t>。</w:t>
      </w:r>
    </w:p>
    <w:p w14:paraId="7786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eastAsia="zh-CN"/>
        </w:rPr>
        <w:t>三十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有以下情形之一的，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个月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不得享受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养老机构运营补贴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；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情节严重的，6个月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不得享受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养老机构运营补贴。</w:t>
      </w:r>
    </w:p>
    <w:p w14:paraId="113A1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一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eastAsia="zh-CN"/>
        </w:rPr>
        <w:t>年度内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冒领养老机构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运营补贴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金额5000元（含）以上不足3万元的；</w:t>
      </w:r>
    </w:p>
    <w:p w14:paraId="66C73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二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自享受运营补贴之日起，无正当理由拒不参加市、区民政局组织的养老机构等级评定、安全强制性标准达标或服务质量评估的；</w:t>
      </w:r>
    </w:p>
    <w:p w14:paraId="32672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三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未通过民政部门组织的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安全强制性标准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评估或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年度服务质量评定的；</w:t>
      </w:r>
    </w:p>
    <w:p w14:paraId="706F0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四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养老机构或养老机构法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定代表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人、负责人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因从事养老服务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出现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违法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违规行为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被列入严重违法失信名单或失信被执行人名单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的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；</w:t>
      </w:r>
    </w:p>
    <w:p w14:paraId="7669B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（五）经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民政部门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催告，养老机构拒绝退还虚报冒领的运营补贴的。</w:t>
      </w:r>
    </w:p>
    <w:p w14:paraId="3DF79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eastAsia="zh-CN"/>
        </w:rPr>
        <w:t>三十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养老机构有以下情形之一的，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年不得享受养老机构运营补贴；情节严重的，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年不得享受养老机构运营补贴。</w:t>
      </w:r>
    </w:p>
    <w:p w14:paraId="7B774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一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eastAsia" w:ascii="仿宋" w:hAnsi="仿宋" w:cs="仿宋"/>
          <w:b w:val="0"/>
          <w:bCs w:val="0"/>
          <w:color w:val="000000"/>
          <w:highlight w:val="none"/>
          <w:lang w:eastAsia="zh-CN"/>
        </w:rPr>
        <w:t>年度内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冒领养老机构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运营补贴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金额3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万元及以上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；</w:t>
      </w:r>
    </w:p>
    <w:p w14:paraId="36834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二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发生等级生产安全责任事故的；</w:t>
      </w:r>
    </w:p>
    <w:p w14:paraId="05A48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三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未按照《养老机构管理办法》（民政部令第66号）规定预防和处置突发事件，造成较大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eastAsia="zh-CN"/>
        </w:rPr>
        <w:t>负面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影响的；</w:t>
      </w:r>
    </w:p>
    <w:p w14:paraId="1B4B7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四</w:t>
      </w:r>
      <w:r>
        <w:rPr>
          <w:rFonts w:hint="eastAsia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未按照疾病预防控制机构的意见</w:t>
      </w:r>
      <w:r>
        <w:rPr>
          <w:rFonts w:hint="eastAsia" w:cs="Times New Roman"/>
          <w:b w:val="0"/>
          <w:bCs w:val="0"/>
          <w:color w:val="000000"/>
          <w:highlight w:val="none"/>
          <w:lang w:val="en-US" w:eastAsia="zh-CN"/>
        </w:rPr>
        <w:t>或民政部门行业管理要求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，采取必要的传染病预防、控制措施，造成社会面疫情传播或养老机构内疫情扩散的；</w:t>
      </w:r>
    </w:p>
    <w:p w14:paraId="0435E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五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存在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针对老年人非法集资、诈骗等违法违规行为，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被公安、金融监管等部门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查实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处罚的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。</w:t>
      </w:r>
    </w:p>
    <w:p w14:paraId="73CAF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eastAsia="zh-CN"/>
        </w:rPr>
        <w:t>三十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</w:rPr>
        <w:t>河北省养老机构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收住津籍老年人，符合本办法第十七条规定的申请条件的，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</w:rPr>
        <w:t>由河北省民政厅养老服务部门提出资金申请，市民政局审核后按规定渠道拨付。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具体</w:t>
      </w:r>
      <w:r>
        <w:rPr>
          <w:rFonts w:hint="eastAsia" w:ascii="仿宋" w:hAnsi="仿宋" w:eastAsia="仿宋" w:cs="仿宋"/>
          <w:b w:val="0"/>
          <w:bCs w:val="0"/>
          <w:color w:val="000000"/>
          <w:highlight w:val="none"/>
        </w:rPr>
        <w:t>按照京津冀跨地区购买服务三方协议明确的监管职责执行。</w:t>
      </w:r>
    </w:p>
    <w:p w14:paraId="305D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000000"/>
          <w:highlight w:val="none"/>
        </w:rPr>
        <w:t>第三十</w:t>
      </w:r>
      <w:r>
        <w:rPr>
          <w:rFonts w:hint="eastAsia" w:eastAsia="黑体" w:cs="Times New Roman"/>
          <w:b w:val="0"/>
          <w:bCs w:val="0"/>
          <w:strike w:val="0"/>
          <w:dstrike w:val="0"/>
          <w:color w:val="000000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trike w:val="0"/>
          <w:dstrike w:val="0"/>
          <w:color w:val="000000"/>
          <w:highlight w:val="none"/>
        </w:rPr>
        <w:t>条</w:t>
      </w:r>
      <w:r>
        <w:rPr>
          <w:rFonts w:hint="eastAsia" w:eastAsia="黑体" w:cs="Times New Roman"/>
          <w:b w:val="0"/>
          <w:bCs w:val="0"/>
          <w:strike w:val="0"/>
          <w:dstrike w:val="0"/>
          <w:color w:val="00000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民政部门在监督检查中发现养老机构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虚报冒领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补贴的，应责令养老机构退回，并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增加对其抽查检查或评估的频率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eastAsia="zh-CN"/>
        </w:rPr>
        <w:t>。</w:t>
      </w:r>
    </w:p>
    <w:p w14:paraId="6847A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highlight w:val="none"/>
          <w:lang w:val="en-US" w:eastAsia="zh-CN"/>
        </w:rPr>
        <w:t>有关组织或者个人骗取养老机构补贴，违反《天津市养老服务促进条例》规定的，依法进行行政处罚；构成犯罪的，依法追究刑事责任。</w:t>
      </w:r>
    </w:p>
    <w:p w14:paraId="393D7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</w:p>
    <w:p w14:paraId="44BC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第七章  附则</w:t>
      </w:r>
    </w:p>
    <w:p w14:paraId="3618F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第三十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本办法由市民政局、市财政局负责解释。</w:t>
      </w:r>
    </w:p>
    <w:p w14:paraId="53BB3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第三十</w:t>
      </w:r>
      <w:r>
        <w:rPr>
          <w:rFonts w:hint="eastAsia" w:eastAsia="黑体" w:cs="Times New Roman"/>
          <w:b w:val="0"/>
          <w:bCs w:val="0"/>
          <w:color w:val="000000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 xml:space="preserve"> 各区民政局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、区财政局可依据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本办法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制定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实施细则</w:t>
      </w:r>
      <w:r>
        <w:rPr>
          <w:rFonts w:hint="eastAsia" w:cs="Times New Roman"/>
          <w:b w:val="0"/>
          <w:bCs w:val="0"/>
          <w:strike w:val="0"/>
          <w:dstrike w:val="0"/>
          <w:color w:val="000000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</w:rPr>
        <w:t>具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体组织实施。</w:t>
      </w:r>
    </w:p>
    <w:p w14:paraId="7B76B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三十九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highlight w:val="none"/>
          <w:lang w:val="en-US" w:eastAsia="zh-CN"/>
        </w:rPr>
        <w:t>条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 xml:space="preserve"> 本办法自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公布之日起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实施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有效期</w:t>
      </w:r>
      <w:r>
        <w:rPr>
          <w:rFonts w:hint="eastAsia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  <w:t>5年。</w:t>
      </w:r>
    </w:p>
    <w:p w14:paraId="4938365C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155E0B42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55294BC2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6E4474A0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7D943891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7278C257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1054B6E4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09EC9472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1D842DF6">
      <w:pPr>
        <w:spacing w:line="56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u w:val="thick"/>
        </w:rPr>
      </w:pPr>
    </w:p>
    <w:p w14:paraId="0EC60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98B5068-32E8-4CA6-ADD9-DF8E078261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52C163-287F-4513-B03E-2C5281473E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237007-7294-447B-B0D6-C318C2FB78E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300B4D1-FCAA-458F-B468-3C464B608B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A97D600-D233-4E72-BC18-1491B6C1F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544D"/>
    <w:rsid w:val="506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2025-01-09T07:23:00Z</dcterms:created>
  <dc:creator>sai</dc:creator>
  <cp:lastModifiedBy>sai</cp:lastModifiedBy>
  <dcterms:modified xsi:type="dcterms:W3CDTF">2025-01-09T07:25:09Z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3BCC80A487E34327A5FDEB933BBBBF88_11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