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方正小标宋简体" w:hAnsi="方正小标宋简体" w:eastAsia="方正小标宋简体" w:cs="方正小标宋简体"/>
          <w:sz w:val="28"/>
          <w:szCs w:val="28"/>
        </w:rPr>
        <w:tag w:val="NEW_STAND_NAME"/>
        <w:id w:val="595910757"/>
        <w:lock w:val="sdtLocked"/>
        <w:placeholder>
          <w:docPart w:val="{169374e7-e13e-492c-b3ab-95abab846d2c}"/>
        </w:placeholder>
      </w:sdtPr>
      <w:sdtEndPr>
        <w:rPr>
          <w:rFonts w:hint="eastAsia" w:ascii="方正小标宋简体" w:hAnsi="方正小标宋简体" w:eastAsia="方正小标宋简体" w:cs="方正小标宋简体"/>
          <w:sz w:val="28"/>
          <w:szCs w:val="28"/>
        </w:rPr>
      </w:sdtEndPr>
      <w:sdtContent>
        <w:p w14:paraId="4C316E0E">
          <w:pPr>
            <w:pStyle w:val="5"/>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方正小标宋简体" w:hAnsi="方正小标宋简体" w:eastAsia="方正小标宋简体" w:cs="方正小标宋简体"/>
              <w:sz w:val="28"/>
              <w:szCs w:val="28"/>
            </w:rPr>
          </w:pPr>
          <w:bookmarkStart w:id="0" w:name="_Toc29391"/>
          <w:r>
            <w:rPr>
              <w:rFonts w:hint="eastAsia" w:ascii="方正小标宋简体" w:hAnsi="方正小标宋简体" w:eastAsia="方正小标宋简体" w:cs="方正小标宋简体"/>
              <w:sz w:val="44"/>
              <w:szCs w:val="44"/>
            </w:rPr>
            <w:t>智慧</w:t>
          </w:r>
          <w:r>
            <w:rPr>
              <w:rFonts w:hint="eastAsia" w:ascii="方正小标宋简体" w:hAnsi="方正小标宋简体" w:eastAsia="方正小标宋简体" w:cs="方正小标宋简体"/>
              <w:sz w:val="44"/>
              <w:szCs w:val="44"/>
              <w:lang w:eastAsia="zh-CN"/>
            </w:rPr>
            <w:t>化</w:t>
          </w:r>
          <w:r>
            <w:rPr>
              <w:rFonts w:hint="eastAsia" w:ascii="方正小标宋简体" w:hAnsi="方正小标宋简体" w:eastAsia="方正小标宋简体" w:cs="方正小标宋简体"/>
              <w:sz w:val="44"/>
              <w:szCs w:val="44"/>
            </w:rPr>
            <w:t>养老服务综合体建设指引</w:t>
          </w:r>
        </w:p>
        <w:p w14:paraId="6E73F37C">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firstLine="560" w:firstLineChars="200"/>
            <w:jc w:val="both"/>
            <w:textAlignment w:val="auto"/>
            <w:rPr>
              <w:rFonts w:ascii="宋体" w:hAnsi="宋体" w:eastAsia="宋体" w:cs="宋体"/>
              <w:sz w:val="21"/>
              <w:szCs w:val="21"/>
            </w:rPr>
          </w:pPr>
        </w:p>
      </w:sdtContent>
    </w:sdt>
    <w:p w14:paraId="7D72CD79">
      <w:pPr>
        <w:pStyle w:val="6"/>
        <w:keepNext w:val="0"/>
        <w:keepLines w:val="0"/>
        <w:pageBreakBefore w:val="0"/>
        <w:numPr>
          <w:ilvl w:val="1"/>
          <w:numId w:val="0"/>
        </w:numPr>
        <w:kinsoku/>
        <w:wordWrap/>
        <w:overflowPunct/>
        <w:topLinePunct w:val="0"/>
        <w:bidi w:val="0"/>
        <w:spacing w:before="0" w:beforeLines="0" w:after="0" w:afterLines="0" w:line="560" w:lineRule="exact"/>
        <w:ind w:left="0" w:leftChars="0" w:firstLine="640" w:firstLineChars="200"/>
        <w:textAlignment w:val="auto"/>
        <w:rPr>
          <w:rFonts w:hint="eastAsia"/>
          <w:sz w:val="32"/>
          <w:szCs w:val="32"/>
        </w:rPr>
      </w:pPr>
      <w:r>
        <w:rPr>
          <w:rFonts w:hint="eastAsia" w:hAnsi="Times New Roman" w:cs="Times New Roman"/>
          <w:sz w:val="32"/>
          <w:szCs w:val="32"/>
          <w:lang w:val="zh-CN"/>
        </w:rPr>
        <w:t>1</w:t>
      </w:r>
      <w:r>
        <w:rPr>
          <w:rFonts w:hint="default" w:hAnsi="Times New Roman" w:cs="Times New Roman"/>
          <w:sz w:val="32"/>
          <w:szCs w:val="32"/>
          <w:lang w:val="en-US" w:eastAsia="zh-CN"/>
        </w:rPr>
        <w:t>　</w:t>
      </w:r>
      <w:r>
        <w:rPr>
          <w:rFonts w:hint="eastAsia" w:hAnsi="Times New Roman" w:cs="Times New Roman"/>
          <w:sz w:val="32"/>
          <w:szCs w:val="32"/>
          <w:lang w:val="zh-CN"/>
        </w:rPr>
        <w:t>建设目标</w:t>
      </w:r>
      <w:bookmarkEnd w:id="0"/>
    </w:p>
    <w:p w14:paraId="3B898855">
      <w:pPr>
        <w:pStyle w:val="2"/>
        <w:keepNext w:val="0"/>
        <w:keepLines w:val="0"/>
        <w:pageBreakBefore w:val="0"/>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1.1　旨在运用现代科技手段提升养老服务质量与效率，满足老年群体的多元化、个性化需求。</w:t>
      </w:r>
    </w:p>
    <w:p w14:paraId="3A0DAE98">
      <w:pPr>
        <w:pStyle w:val="2"/>
        <w:keepNext w:val="0"/>
        <w:keepLines w:val="0"/>
        <w:pageBreakBefore w:val="0"/>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1.2　建设目标：构建一个集智能化、信息化、便捷化于一体的智慧养老服务综合体，为老年人提供全方位、个性化的养老服务，实现养老服务的高效、集约与可持续发展。</w:t>
      </w:r>
    </w:p>
    <w:p w14:paraId="54759D48">
      <w:pPr>
        <w:pStyle w:val="2"/>
        <w:keepNext w:val="0"/>
        <w:keepLines w:val="0"/>
        <w:pageBreakBefore w:val="0"/>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1.3　本指引从建设原则、基本要求、场所建设、服务内容、服务开展、监督管理等方面对本市嵌入式养老服务设施建设提供具体指导。</w:t>
      </w:r>
      <w:bookmarkStart w:id="1" w:name="_Toc11721"/>
    </w:p>
    <w:p w14:paraId="2C9BA77D">
      <w:pPr>
        <w:pStyle w:val="6"/>
        <w:keepNext w:val="0"/>
        <w:keepLines w:val="0"/>
        <w:pageBreakBefore w:val="0"/>
        <w:numPr>
          <w:ilvl w:val="1"/>
          <w:numId w:val="0"/>
        </w:numPr>
        <w:kinsoku/>
        <w:wordWrap/>
        <w:overflowPunct/>
        <w:topLinePunct w:val="0"/>
        <w:bidi w:val="0"/>
        <w:spacing w:before="0" w:beforeLines="0" w:after="0" w:afterLines="0" w:line="560" w:lineRule="exact"/>
        <w:ind w:left="0" w:leftChars="0" w:firstLine="640" w:firstLineChars="200"/>
        <w:textAlignment w:val="auto"/>
        <w:rPr>
          <w:rFonts w:hint="eastAsia" w:hAnsi="Times New Roman" w:cs="Times New Roman"/>
          <w:sz w:val="32"/>
          <w:szCs w:val="32"/>
          <w:lang w:val="en-US" w:eastAsia="zh-CN"/>
        </w:rPr>
      </w:pPr>
      <w:r>
        <w:rPr>
          <w:rFonts w:hint="eastAsia" w:hAnsi="Times New Roman" w:cs="Times New Roman"/>
          <w:sz w:val="32"/>
          <w:szCs w:val="32"/>
          <w:lang w:val="en-US" w:eastAsia="zh-CN"/>
        </w:rPr>
        <w:t>2</w:t>
      </w:r>
      <w:r>
        <w:rPr>
          <w:rFonts w:hint="default" w:hAnsi="Times New Roman" w:cs="Times New Roman"/>
          <w:sz w:val="32"/>
          <w:szCs w:val="32"/>
          <w:lang w:val="en-US" w:eastAsia="zh-CN"/>
        </w:rPr>
        <w:t>　</w:t>
      </w:r>
      <w:r>
        <w:rPr>
          <w:rFonts w:hint="eastAsia" w:hAnsi="Times New Roman" w:cs="Times New Roman"/>
          <w:sz w:val="32"/>
          <w:szCs w:val="32"/>
          <w:lang w:val="en-US" w:eastAsia="zh-CN"/>
        </w:rPr>
        <w:t>建设原则</w:t>
      </w:r>
      <w:bookmarkEnd w:id="1"/>
    </w:p>
    <w:p w14:paraId="2CDC2853">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2.1　需求导向：以老年人的实际需求为导向，提供多样化的服务，为老年人日常生活照料、护理服务、健康管理等功能于一体的综合服务平台。</w:t>
      </w:r>
    </w:p>
    <w:p w14:paraId="5C0783B7">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2.2　智能化发展：充分利用现代信息技术，提升服务的智能化水平。</w:t>
      </w:r>
    </w:p>
    <w:p w14:paraId="5E35FC63">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2.3　资源整合：整合各类养老服务资源，实现资源共享和优化配置。</w:t>
      </w:r>
    </w:p>
    <w:p w14:paraId="128744DB">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2.4　人性化设计：考虑老年人的生活习惯和身体状况，提供舒适、安全、暖心的服务环境。</w:t>
      </w:r>
      <w:bookmarkStart w:id="2" w:name="_Toc18127"/>
      <w:bookmarkStart w:id="3" w:name="_Toc25504"/>
      <w:bookmarkStart w:id="4" w:name="_Toc10379"/>
      <w:bookmarkStart w:id="5" w:name="_Toc19284"/>
      <w:bookmarkStart w:id="6" w:name="_Toc25910"/>
      <w:bookmarkStart w:id="7" w:name="_Toc17382"/>
    </w:p>
    <w:p w14:paraId="589ABF62">
      <w:pPr>
        <w:pStyle w:val="6"/>
        <w:keepNext w:val="0"/>
        <w:keepLines w:val="0"/>
        <w:pageBreakBefore w:val="0"/>
        <w:numPr>
          <w:ilvl w:val="1"/>
          <w:numId w:val="0"/>
        </w:numPr>
        <w:kinsoku/>
        <w:wordWrap/>
        <w:overflowPunct/>
        <w:topLinePunct w:val="0"/>
        <w:bidi w:val="0"/>
        <w:spacing w:before="0" w:beforeLines="0" w:after="0" w:afterLines="0" w:line="560" w:lineRule="exact"/>
        <w:ind w:left="0" w:leftChars="0" w:firstLine="640" w:firstLineChars="200"/>
        <w:textAlignment w:val="auto"/>
        <w:rPr>
          <w:rFonts w:hint="eastAsia" w:hAnsi="Times New Roman" w:cs="Times New Roman"/>
          <w:sz w:val="32"/>
          <w:szCs w:val="32"/>
          <w:lang w:val="en-US" w:eastAsia="zh-CN"/>
        </w:rPr>
      </w:pPr>
      <w:r>
        <w:rPr>
          <w:rFonts w:hint="eastAsia" w:hAnsi="Times New Roman" w:cs="Times New Roman"/>
          <w:sz w:val="32"/>
          <w:szCs w:val="32"/>
          <w:lang w:val="en-US" w:eastAsia="zh-CN"/>
        </w:rPr>
        <w:t>3</w:t>
      </w:r>
      <w:r>
        <w:rPr>
          <w:rFonts w:hint="default" w:hAnsi="Times New Roman" w:cs="Times New Roman"/>
          <w:sz w:val="32"/>
          <w:szCs w:val="32"/>
          <w:lang w:val="en-US" w:eastAsia="zh-CN"/>
        </w:rPr>
        <w:t>　</w:t>
      </w:r>
      <w:r>
        <w:rPr>
          <w:rFonts w:hint="eastAsia" w:hAnsi="Times New Roman" w:cs="Times New Roman"/>
          <w:sz w:val="32"/>
          <w:szCs w:val="32"/>
          <w:lang w:val="en-US" w:eastAsia="zh-CN"/>
        </w:rPr>
        <w:t>基本要求</w:t>
      </w:r>
      <w:bookmarkEnd w:id="2"/>
      <w:bookmarkEnd w:id="3"/>
      <w:bookmarkEnd w:id="4"/>
      <w:bookmarkEnd w:id="5"/>
      <w:bookmarkEnd w:id="6"/>
      <w:bookmarkEnd w:id="7"/>
    </w:p>
    <w:p w14:paraId="1BADA9A9">
      <w:pPr>
        <w:pStyle w:val="8"/>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8" w:name="_Toc15469"/>
      <w:bookmarkStart w:id="9" w:name="_Toc13550"/>
      <w:bookmarkStart w:id="10" w:name="_Toc551"/>
      <w:bookmarkStart w:id="11" w:name="_Toc10067"/>
      <w:bookmarkStart w:id="12" w:name="_Toc7402"/>
      <w:bookmarkStart w:id="13" w:name="_Toc5305"/>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3.1　网络要求</w:t>
      </w:r>
      <w:bookmarkEnd w:id="8"/>
      <w:bookmarkEnd w:id="9"/>
      <w:bookmarkEnd w:id="10"/>
      <w:bookmarkEnd w:id="11"/>
      <w:bookmarkEnd w:id="12"/>
      <w:bookmarkEnd w:id="13"/>
    </w:p>
    <w:p w14:paraId="3907B014">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3.1.1　宜将无线网络覆盖整个智慧化养老服务综合体，并符合GB/T 22239-2019要求。</w:t>
      </w:r>
    </w:p>
    <w:p w14:paraId="3FE1CEED">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3.1.2　按照国家信息安全等级保护制度的有关规定，建设、运行、维护智能化养老服务相关系统，并按要求与政府相关部门养老服务或公共服务信息化平台进行数据对接，落实互联网安全保护和信息安全技术措施，符合GB/T 35273-2020要求。</w:t>
      </w:r>
    </w:p>
    <w:p w14:paraId="1AE02830">
      <w:pPr>
        <w:pStyle w:val="8"/>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14" w:name="_Toc28295"/>
      <w:bookmarkStart w:id="15" w:name="_Toc31404"/>
      <w:bookmarkStart w:id="16" w:name="_Toc8845"/>
      <w:bookmarkStart w:id="17" w:name="_Toc897"/>
      <w:bookmarkStart w:id="18" w:name="_Toc12570"/>
      <w:bookmarkStart w:id="19" w:name="_Toc25254"/>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3.2　环境要求</w:t>
      </w:r>
      <w:bookmarkEnd w:id="14"/>
      <w:bookmarkEnd w:id="15"/>
      <w:bookmarkEnd w:id="16"/>
      <w:bookmarkEnd w:id="17"/>
      <w:bookmarkEnd w:id="18"/>
      <w:bookmarkEnd w:id="19"/>
    </w:p>
    <w:p w14:paraId="1800EAE3">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3.2.1　应利用智能技术实时监测智慧化养老服务综合体信息系统及相关智能化硬件设备，保障信息化系统、智能化设施设备正常运行。</w:t>
      </w:r>
    </w:p>
    <w:p w14:paraId="0A8B648D">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3.2.2　应在室外区域通过视频监控设备，监测并记录养老服务综合体的出入情况。</w:t>
      </w:r>
    </w:p>
    <w:p w14:paraId="4CB05739">
      <w:pPr>
        <w:pStyle w:val="8"/>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20" w:name="_Toc28764"/>
      <w:bookmarkStart w:id="21" w:name="_Toc13396"/>
      <w:bookmarkStart w:id="22" w:name="_Toc17144"/>
      <w:bookmarkStart w:id="23" w:name="_Toc12537"/>
      <w:bookmarkStart w:id="24" w:name="_Toc8731"/>
      <w:bookmarkStart w:id="25" w:name="_Toc22319"/>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3.3　设施设备要求</w:t>
      </w:r>
      <w:bookmarkEnd w:id="20"/>
      <w:bookmarkEnd w:id="21"/>
      <w:bookmarkEnd w:id="22"/>
      <w:bookmarkEnd w:id="23"/>
      <w:bookmarkEnd w:id="24"/>
      <w:bookmarkEnd w:id="25"/>
    </w:p>
    <w:p w14:paraId="3915131C">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3.3.1　应配备智慧养老服务平台，在合理位置配置大屏，实现对老年人入住管理、照护服务、安全监测、饮食管理等场景信息化构建；针对居家和社区养老服务，例如：助餐，社区活动，健康管理，家庭养老床位等场景进行信息化构建。支持可配置化，对外提供API接口，内嵌标准工具集，可根据智慧化养老服务综合体运营情况进行定制开发和设计。</w:t>
      </w:r>
    </w:p>
    <w:p w14:paraId="612F4D2A">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3.3.2　应提供多元化、操作简单的适老化智能化设施设备，满足老年人的智慧化养老服务需求。</w:t>
      </w:r>
    </w:p>
    <w:p w14:paraId="149676C4">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3.3.</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3</w:t>
      </w: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　设施设备应符合GB/T 36951-2018的相关要求。</w:t>
      </w:r>
    </w:p>
    <w:p w14:paraId="33A8255D">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3.3.</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w:t>
      </w: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　应对各类智能化设施设备进行定期维护保养，确保设施设备的安全运行。</w:t>
      </w:r>
    </w:p>
    <w:p w14:paraId="745EEC87">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3.3.</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5</w:t>
      </w: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　对有意愿使用智能化设备的老年人开展护理照料需求评估，依据评估结果配置可选项中的智能化设备。</w:t>
      </w:r>
    </w:p>
    <w:p w14:paraId="1F412A98">
      <w:pPr>
        <w:pStyle w:val="8"/>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26" w:name="_Toc29577"/>
      <w:bookmarkStart w:id="27" w:name="_Toc3754"/>
      <w:bookmarkStart w:id="28" w:name="_Toc20171"/>
      <w:bookmarkStart w:id="29" w:name="_Toc2804"/>
      <w:bookmarkStart w:id="30" w:name="_Toc23449"/>
      <w:bookmarkStart w:id="31" w:name="_Toc19255"/>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3.4　人员要求</w:t>
      </w:r>
      <w:bookmarkEnd w:id="26"/>
      <w:bookmarkEnd w:id="27"/>
      <w:bookmarkEnd w:id="28"/>
      <w:bookmarkEnd w:id="29"/>
      <w:bookmarkEnd w:id="30"/>
      <w:bookmarkEnd w:id="31"/>
    </w:p>
    <w:p w14:paraId="582CE685">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3.4.1　提供智慧化服务的工作人员应具备符合工作岗位要求的文化程度、业务能力和技术水平，有相应的从业资质或经过专业技能培训后上岗，能够对信息化系统、智能化设备进行日常运维和操作培训。</w:t>
      </w:r>
    </w:p>
    <w:p w14:paraId="1F0E502B">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3.4.2　相关工作人员应参加智能化技术和产品的培训，确保能够熟练掌握智慧化服务的规范、流程和操作。</w:t>
      </w:r>
    </w:p>
    <w:p w14:paraId="61F97987">
      <w:pPr>
        <w:pStyle w:val="8"/>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32" w:name="_Toc8419"/>
      <w:bookmarkStart w:id="33" w:name="_Toc18251"/>
      <w:bookmarkStart w:id="34" w:name="_Toc24629"/>
      <w:bookmarkStart w:id="35" w:name="_Toc14835"/>
      <w:bookmarkStart w:id="36" w:name="_Toc2276"/>
      <w:bookmarkStart w:id="37" w:name="_Toc11485"/>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3.5　数据管理要求</w:t>
      </w:r>
      <w:bookmarkEnd w:id="32"/>
      <w:bookmarkEnd w:id="33"/>
      <w:bookmarkEnd w:id="34"/>
      <w:bookmarkEnd w:id="35"/>
      <w:bookmarkEnd w:id="36"/>
      <w:bookmarkEnd w:id="37"/>
    </w:p>
    <w:p w14:paraId="74A2887B">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3.5.1　应保存老年人信息、护理人员服务信息及机构运营等信息，建立数据库，采取数据备份、故障恢复等技术手段保证数据的完整性、准确性和安全性。</w:t>
      </w:r>
    </w:p>
    <w:p w14:paraId="21F01EB6">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3.5.2　应建立数据信息安全保护机制和制度，通过智能化技术保护老年人隐私数据，防止信息泄漏。</w:t>
      </w:r>
    </w:p>
    <w:p w14:paraId="2D9DB3E8">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3.5.3　出入口视频监控记录保管期限应不少于</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90日。</w:t>
      </w:r>
    </w:p>
    <w:p w14:paraId="76E8E39F">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3.5.</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w:t>
      </w: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　应符合GB/T 35273-2020中数据安全的相关要求。</w:t>
      </w:r>
    </w:p>
    <w:p w14:paraId="093BC9EA">
      <w:pPr>
        <w:pStyle w:val="6"/>
        <w:keepNext w:val="0"/>
        <w:keepLines w:val="0"/>
        <w:pageBreakBefore w:val="0"/>
        <w:numPr>
          <w:ilvl w:val="1"/>
          <w:numId w:val="0"/>
        </w:numPr>
        <w:kinsoku/>
        <w:wordWrap/>
        <w:overflowPunct/>
        <w:topLinePunct w:val="0"/>
        <w:bidi w:val="0"/>
        <w:spacing w:before="0" w:beforeLines="0" w:after="0" w:afterLines="0" w:line="560" w:lineRule="exact"/>
        <w:ind w:left="0" w:leftChars="0" w:firstLine="640" w:firstLineChars="200"/>
        <w:textAlignment w:val="auto"/>
        <w:rPr>
          <w:rFonts w:hint="eastAsia" w:hAnsi="Times New Roman" w:cs="Times New Roman"/>
          <w:sz w:val="32"/>
          <w:szCs w:val="32"/>
          <w:lang w:val="en-US" w:eastAsia="zh-CN"/>
        </w:rPr>
      </w:pPr>
      <w:bookmarkStart w:id="38" w:name="_Toc8972"/>
      <w:r>
        <w:rPr>
          <w:rFonts w:hint="eastAsia" w:hAnsi="Times New Roman" w:cs="Times New Roman"/>
          <w:sz w:val="32"/>
          <w:szCs w:val="32"/>
          <w:lang w:val="en-US" w:eastAsia="zh-CN"/>
        </w:rPr>
        <w:t>4</w:t>
      </w:r>
      <w:bookmarkEnd w:id="38"/>
      <w:r>
        <w:rPr>
          <w:rFonts w:hint="default" w:hAnsi="Times New Roman" w:cs="Times New Roman"/>
          <w:sz w:val="32"/>
          <w:szCs w:val="32"/>
          <w:lang w:val="en-US" w:eastAsia="zh-CN"/>
        </w:rPr>
        <w:t>　</w:t>
      </w:r>
      <w:r>
        <w:rPr>
          <w:rFonts w:hint="eastAsia" w:hAnsi="Times New Roman" w:cs="Times New Roman"/>
          <w:sz w:val="32"/>
          <w:szCs w:val="32"/>
          <w:lang w:val="en-US" w:eastAsia="zh-CN"/>
        </w:rPr>
        <w:t>应用场景</w:t>
      </w:r>
    </w:p>
    <w:p w14:paraId="100B6122">
      <w:pPr>
        <w:pStyle w:val="8"/>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39" w:name="_Toc5796"/>
      <w:bookmarkStart w:id="40" w:name="_Toc7893"/>
      <w:bookmarkStart w:id="41" w:name="_Toc18465"/>
      <w:bookmarkStart w:id="42" w:name="_Toc7793"/>
      <w:bookmarkStart w:id="43" w:name="_Toc11134"/>
      <w:bookmarkStart w:id="44" w:name="_Toc26181"/>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4</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.1　智慧</w:t>
      </w:r>
      <w:bookmarkEnd w:id="39"/>
      <w:bookmarkEnd w:id="40"/>
      <w:bookmarkEnd w:id="41"/>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接待</w:t>
      </w:r>
      <w:bookmarkEnd w:id="42"/>
      <w:bookmarkEnd w:id="43"/>
      <w:bookmarkEnd w:id="44"/>
    </w:p>
    <w:p w14:paraId="1D4E51E8">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w:t>
      </w: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.1.1　应配置人群流量智能监测摄像头或其他智能设备，统计每日到访人流量。对到访人流量可做到监测分析。</w:t>
      </w:r>
    </w:p>
    <w:p w14:paraId="0271FDD6">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w:t>
      </w: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.1.2　可选配体温测量、身份识别等智慧化门禁系统及相应智能设备，自动识别来访人员信息，电子测量人体体温，方便工作人员和探访家属进入，防止可疑人员非法进入机构、权限外人员进入限制区域。</w:t>
      </w:r>
    </w:p>
    <w:p w14:paraId="30473787">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w:t>
      </w:r>
      <w:r>
        <w:rPr>
          <w:rFonts w:hint="eastAsia" w:ascii="Times New Roman" w:hAnsi="Times New Roman" w:eastAsia="仿宋" w:cs="Times New Roman"/>
          <w:color w:val="000000"/>
          <w:spacing w:val="0"/>
          <w:w w:val="100"/>
          <w:kern w:val="0"/>
          <w:position w:val="0"/>
          <w:sz w:val="32"/>
          <w:szCs w:val="32"/>
          <w:u w:val="none"/>
          <w:shd w:val="clear" w:color="auto" w:fill="auto"/>
          <w:lang w:val="zh-CN" w:eastAsia="zh-CN" w:bidi="zh-TW"/>
        </w:rPr>
        <w:t>.1.3　符合JGJ/T 484-2019中4.5的要求。</w:t>
      </w:r>
    </w:p>
    <w:p w14:paraId="26235A61">
      <w:pPr>
        <w:pStyle w:val="8"/>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45" w:name="_Toc7847"/>
      <w:bookmarkStart w:id="46" w:name="_Toc18470"/>
      <w:bookmarkStart w:id="47" w:name="_Toc15466"/>
      <w:bookmarkStart w:id="48" w:name="_Toc22788"/>
      <w:bookmarkStart w:id="49" w:name="_Toc12652"/>
      <w:bookmarkStart w:id="50" w:name="_Toc26225"/>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4.2　智慧评估</w:t>
      </w:r>
      <w:bookmarkEnd w:id="45"/>
      <w:bookmarkEnd w:id="46"/>
      <w:bookmarkEnd w:id="47"/>
      <w:bookmarkEnd w:id="48"/>
      <w:bookmarkEnd w:id="49"/>
      <w:bookmarkEnd w:id="50"/>
    </w:p>
    <w:p w14:paraId="1227F6BB">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4.2.1　应配置相关专业评估软件及智能化技术，对老年人的自理能力、基础运动能力、精神状态和感知觉与社会参与度等方面进行入院评估、阶段性评估、即时评估。</w:t>
      </w:r>
    </w:p>
    <w:p w14:paraId="5A7904BB">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4.2.2　应符合GB/T 42195-2022中4.2的要求。</w:t>
      </w:r>
    </w:p>
    <w:p w14:paraId="22EB2877">
      <w:pPr>
        <w:pStyle w:val="8"/>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51" w:name="_Toc16504"/>
      <w:bookmarkStart w:id="52" w:name="_Toc23843"/>
      <w:bookmarkStart w:id="53" w:name="_Toc13179"/>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4.3　智慧安防</w:t>
      </w:r>
      <w:bookmarkEnd w:id="51"/>
      <w:bookmarkEnd w:id="52"/>
      <w:bookmarkEnd w:id="53"/>
    </w:p>
    <w:p w14:paraId="73EE1C98">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4.3.1　应配置烟感报警器、电力脉象仪，可选配智能地板、水浸、燃气报警器等监测设备，对智慧化养老服务综合体实行消防监控，以及漏水、漏电、燃气泄漏等危险情况的24小时自动报警和处理。</w:t>
      </w:r>
    </w:p>
    <w:p w14:paraId="1292C89D">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4.3.2　应编码归档安全设备，动态开展安全设备检修管理。</w:t>
      </w:r>
    </w:p>
    <w:p w14:paraId="4A5B6A9C">
      <w:pPr>
        <w:pStyle w:val="8"/>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54" w:name="_Toc14709"/>
      <w:bookmarkStart w:id="55" w:name="_Toc14610"/>
      <w:bookmarkStart w:id="56" w:name="_Toc11557"/>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4.4　智慧监护</w:t>
      </w:r>
      <w:bookmarkEnd w:id="54"/>
      <w:bookmarkEnd w:id="55"/>
      <w:bookmarkEnd w:id="56"/>
    </w:p>
    <w:p w14:paraId="76EF9FDF">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4.4.1　应在老人房间内配置紧急呼叫报警器。</w:t>
      </w:r>
    </w:p>
    <w:p w14:paraId="3B378729">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4.4.2　应配置防跌倒毫米波雷达，实时探测老人状况，一旦检测到异常情况，智慧平台报警并通知工作人员到现场进行处理。</w:t>
      </w:r>
    </w:p>
    <w:p w14:paraId="0D9C1C2F">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4.4.3　可选配在老年人纽扣中植入RFID技术产品，实现对老人的实时定位。</w:t>
      </w:r>
    </w:p>
    <w:p w14:paraId="70820E45">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4.4.4　可选配在老人床侧放置智能地垫，实现对老人在床、离床行为的监测。</w:t>
      </w:r>
    </w:p>
    <w:p w14:paraId="0091A572">
      <w:pPr>
        <w:pStyle w:val="8"/>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57" w:name="_Toc29116"/>
      <w:bookmarkStart w:id="58" w:name="_Toc11746"/>
      <w:bookmarkStart w:id="59" w:name="_Toc9574"/>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4.5　智慧关爱</w:t>
      </w:r>
      <w:bookmarkEnd w:id="57"/>
      <w:bookmarkEnd w:id="58"/>
      <w:bookmarkEnd w:id="59"/>
    </w:p>
    <w:p w14:paraId="6F5491C0">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bookmarkStart w:id="60" w:name="_Toc17456"/>
      <w:bookmarkStart w:id="61" w:name="_Toc29647"/>
      <w:bookmarkStart w:id="62" w:name="_Toc26995"/>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4.5.1　应配置智能养老机器人，满足宣传讲解、智慧监控、语音交互、娱乐互动、无接触配送等服务。</w:t>
      </w:r>
      <w:bookmarkEnd w:id="60"/>
      <w:bookmarkEnd w:id="61"/>
      <w:bookmarkEnd w:id="62"/>
    </w:p>
    <w:p w14:paraId="7B9CA0F2">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bookmarkStart w:id="63" w:name="_Toc18932"/>
      <w:bookmarkStart w:id="64" w:name="_Toc14922"/>
      <w:bookmarkStart w:id="65" w:name="_Toc25365"/>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4.5.2　可选配房间智能设备，支持家属通过视频等方式对老人进行远程探视。</w:t>
      </w:r>
      <w:bookmarkEnd w:id="63"/>
      <w:bookmarkEnd w:id="64"/>
      <w:bookmarkEnd w:id="65"/>
    </w:p>
    <w:p w14:paraId="11251939">
      <w:pPr>
        <w:pStyle w:val="8"/>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66" w:name="_Toc7571"/>
      <w:bookmarkStart w:id="67" w:name="_Toc17548"/>
      <w:bookmarkStart w:id="68" w:name="_Toc30255"/>
      <w:bookmarkStart w:id="69" w:name="_Toc12047"/>
      <w:bookmarkStart w:id="70" w:name="_Toc16838"/>
      <w:bookmarkStart w:id="71" w:name="_Toc25346"/>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4.6　智慧照护</w:t>
      </w:r>
      <w:bookmarkEnd w:id="66"/>
      <w:bookmarkEnd w:id="67"/>
      <w:bookmarkEnd w:id="68"/>
      <w:bookmarkEnd w:id="69"/>
      <w:bookmarkEnd w:id="70"/>
      <w:bookmarkEnd w:id="71"/>
    </w:p>
    <w:p w14:paraId="57F16A9E">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4.6.1　应配置多功能护理床，提升便捷化照护服务能力，降低工作人员护理压力。</w:t>
      </w:r>
    </w:p>
    <w:p w14:paraId="7835CFBA">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4.6.2　应配置毫米波体征监测雷达，通过探测老年人呼吸、脉搏、睡眠质量等多项体征指数，对夜间安全及睡眠情况进行实时监测。</w:t>
      </w:r>
    </w:p>
    <w:p w14:paraId="619AEBC3">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4.6.3　应配置全自动防压疮充放气床垫，实时监测老人卧姿睡姿，对压疮风险进行智能化预警。</w:t>
      </w:r>
    </w:p>
    <w:p w14:paraId="55612181">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4.6.4　可选配智能药盒，根据老人身体情况、服药情况，对老人服药用药情况进行智慧化管理。</w:t>
      </w:r>
    </w:p>
    <w:p w14:paraId="6F9E58BE">
      <w:pPr>
        <w:pStyle w:val="8"/>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72" w:name="_Toc1448"/>
      <w:bookmarkStart w:id="73" w:name="_Toc12837"/>
      <w:bookmarkStart w:id="74" w:name="_Toc12937"/>
      <w:bookmarkStart w:id="75" w:name="_Toc25921"/>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4.7　智慧健康管理</w:t>
      </w:r>
      <w:bookmarkEnd w:id="72"/>
      <w:bookmarkEnd w:id="73"/>
      <w:bookmarkEnd w:id="74"/>
      <w:bookmarkEnd w:id="75"/>
    </w:p>
    <w:p w14:paraId="5417520C">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4.7.1　应建立老年人基本信息、健康评估、健康监测等全链条的电子化健康管理档案，形成老年人能力等级评估报告和健康报告。</w:t>
      </w:r>
    </w:p>
    <w:p w14:paraId="392EE647">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4.7.2　可选配穿戴式、非接触式、无感式设备（包括：智能体检设备、中医诊断设备、智能眼底筛查设备等），实时或定时采集老年人的心率、呼吸、血压、体温等生命体征信息，记录老年人的身体健康状况，自动发现指标异常并及时提醒。</w:t>
      </w:r>
      <w:bookmarkStart w:id="76" w:name="_Toc2598"/>
      <w:bookmarkStart w:id="77" w:name="_Toc16461"/>
      <w:bookmarkStart w:id="78" w:name="_Toc4876"/>
      <w:bookmarkStart w:id="79" w:name="_Toc4206"/>
    </w:p>
    <w:p w14:paraId="0A946610">
      <w:pPr>
        <w:pStyle w:val="8"/>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4.8　智慧</w:t>
      </w:r>
      <w:bookmarkEnd w:id="76"/>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健身康复</w:t>
      </w:r>
      <w:bookmarkEnd w:id="77"/>
      <w:bookmarkEnd w:id="78"/>
      <w:bookmarkEnd w:id="79"/>
    </w:p>
    <w:p w14:paraId="2B09636F">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4.8.1　可选配器械可视化训练系统设备、言语认知训练系统设备、数字OT系统设备、步态训练系统设备等，根据医疗人员的评估和诊断，通过指导老年人使用智能化的康复辅助器具，为老年人提供专业化的肢体运动康复、视听力康复、言语康复等服务。</w:t>
      </w:r>
      <w:bookmarkStart w:id="80" w:name="_Toc17180"/>
      <w:bookmarkStart w:id="81" w:name="_Toc31534"/>
      <w:bookmarkStart w:id="82" w:name="_Toc7108"/>
    </w:p>
    <w:p w14:paraId="3171ED5E">
      <w:pPr>
        <w:pStyle w:val="8"/>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4.9　智慧助餐</w:t>
      </w:r>
    </w:p>
    <w:p w14:paraId="195B0138">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4.9.1　应配置智慧化点单机、结算设备，便利老年人自助点餐、自助结算并对符合条件的老年人实时补贴优惠。</w:t>
      </w:r>
    </w:p>
    <w:p w14:paraId="566BE87C">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4.9.2　可选配智能化餐饮管理系统，制定符合糖尿病、高血压、高尿酸症等慢病老年人饮食要求的食谱，实现智能化营养搭配。</w:t>
      </w:r>
    </w:p>
    <w:p w14:paraId="07F29134">
      <w:pPr>
        <w:pStyle w:val="8"/>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4.10　智慧延伸</w:t>
      </w:r>
      <w:bookmarkEnd w:id="80"/>
      <w:bookmarkEnd w:id="81"/>
      <w:bookmarkEnd w:id="82"/>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——居家上门服务</w:t>
      </w:r>
    </w:p>
    <w:p w14:paraId="44483CBE">
      <w:pPr>
        <w:keepNext w:val="0"/>
        <w:keepLines w:val="0"/>
        <w:pageBreakBefore w:val="0"/>
        <w:tabs>
          <w:tab w:val="left" w:pos="433"/>
          <w:tab w:val="left" w:pos="434"/>
        </w:tabs>
        <w:kinsoku/>
        <w:wordWrap/>
        <w:overflowPunct/>
        <w:topLinePunct w:val="0"/>
        <w:autoSpaceDE w:val="0"/>
        <w:autoSpaceDN w:val="0"/>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4.10.1　可选配便携式智能随诊包，居家智能监控硬件等硬件，链接平台，提供线上结合线下的点单式服务。通过智慧化养老服务综合体现有智能化服务平台及产品，将服务延伸至更多的社区及家庭用户，为更多家庭带来智能化应用的便捷服务。</w:t>
      </w:r>
    </w:p>
    <w:p w14:paraId="1CE5BCC3">
      <w:pPr>
        <w:keepNext w:val="0"/>
        <w:keepLines w:val="0"/>
        <w:pageBreakBefore w:val="0"/>
        <w:kinsoku/>
        <w:wordWrap/>
        <w:overflowPunct/>
        <w:topLinePunct w:val="0"/>
        <w:bidi w:val="0"/>
        <w:spacing w:line="560" w:lineRule="exact"/>
        <w:ind w:left="0" w:leftChars="0" w:firstLine="480" w:firstLineChars="200"/>
        <w:textAlignment w:val="auto"/>
        <w:rPr>
          <w:rFonts w:ascii="仿宋" w:hAnsi="仿宋" w:eastAsia="仿宋" w:cs="仿宋"/>
          <w:color w:val="auto"/>
          <w:sz w:val="24"/>
        </w:rPr>
      </w:pPr>
      <w:r>
        <w:rPr>
          <w:rFonts w:ascii="仿宋" w:hAnsi="仿宋" w:eastAsia="仿宋" w:cs="仿宋"/>
          <w:color w:val="auto"/>
          <w:sz w:val="24"/>
        </w:rPr>
        <w:br w:type="page"/>
      </w:r>
    </w:p>
    <w:p w14:paraId="47103CA4">
      <w:bookmarkStart w:id="83" w:name="_GoBack"/>
      <w:bookmarkEnd w:id="8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3A17682-74F7-4297-9AC5-20C564A28702}"/>
  </w:font>
  <w:font w:name="楷体">
    <w:panose1 w:val="02010609060101010101"/>
    <w:charset w:val="86"/>
    <w:family w:val="auto"/>
    <w:pitch w:val="default"/>
    <w:sig w:usb0="800002BF" w:usb1="38CF7CFA" w:usb2="00000016" w:usb3="00000000" w:csb0="00040001" w:csb1="00000000"/>
    <w:embedRegular r:id="rId2" w:fontKey="{C2144F75-7767-4D25-B4EB-8A9296393FC4}"/>
  </w:font>
  <w:font w:name="仿宋">
    <w:panose1 w:val="02010609060101010101"/>
    <w:charset w:val="86"/>
    <w:family w:val="auto"/>
    <w:pitch w:val="default"/>
    <w:sig w:usb0="800002BF" w:usb1="38CF7CFA" w:usb2="00000016" w:usb3="00000000" w:csb0="00040001" w:csb1="00000000"/>
    <w:embedRegular r:id="rId3" w:fontKey="{E0503AAF-E02C-4C68-BD57-9BD18C0A6A34}"/>
  </w:font>
  <w:font w:name="方正小标宋简体">
    <w:panose1 w:val="02000000000000000000"/>
    <w:charset w:val="86"/>
    <w:family w:val="auto"/>
    <w:pitch w:val="default"/>
    <w:sig w:usb0="00000001" w:usb1="080E0000" w:usb2="00000000" w:usb3="00000000" w:csb0="00040000" w:csb1="00000000"/>
    <w:embedRegular r:id="rId4" w:fontKey="{45637EB5-D957-4F0D-AD5B-431CA1E5D73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6"/>
      <w:suff w:val="nothing"/>
      <w:lvlText w:val="%1%2　"/>
      <w:lvlJc w:val="left"/>
      <w:pPr>
        <w:ind w:left="0" w:firstLine="0"/>
      </w:pPr>
      <w:rPr>
        <w:rFonts w:hint="default" w:ascii="黑体" w:eastAsia="黑体"/>
        <w:b w:val="0"/>
        <w:i w:val="0"/>
        <w:sz w:val="32"/>
        <w:szCs w:val="24"/>
      </w:rPr>
    </w:lvl>
    <w:lvl w:ilvl="2" w:tentative="0">
      <w:start w:val="1"/>
      <w:numFmt w:val="decimal"/>
      <w:pStyle w:val="8"/>
      <w:suff w:val="nothing"/>
      <w:lvlText w:val="%1%2.%3　"/>
      <w:lvlJc w:val="left"/>
      <w:pPr>
        <w:ind w:left="0" w:firstLine="0"/>
      </w:pPr>
      <w:rPr>
        <w:rFonts w:hint="default" w:ascii="黑体" w:hAnsi="Times New Roman" w:eastAsia="楷体" w:cs="Times New Roman"/>
        <w:b w:val="0"/>
        <w:bCs w:val="0"/>
        <w:i w:val="0"/>
        <w:iCs w:val="0"/>
        <w:caps w:val="0"/>
        <w:smallCaps w:val="0"/>
        <w:strike w:val="0"/>
        <w:dstrike w:val="0"/>
        <w:vanish w:val="0"/>
        <w:color w:val="000000"/>
        <w:spacing w:val="0"/>
        <w:kern w:val="0"/>
        <w:position w:val="0"/>
        <w:sz w:val="32"/>
        <w:szCs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850" w:firstLine="0"/>
      </w:pPr>
      <w:rPr>
        <w:rFonts w:hint="default" w:ascii="黑体" w:eastAsia="仿宋"/>
        <w:b w:val="0"/>
        <w:i w:val="0"/>
        <w:sz w:val="32"/>
        <w:szCs w:val="24"/>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YTBmOTgyNjFiYmNkYjM5ZDQxMGE1MWU3YjlhM2UifQ=="/>
  </w:docVars>
  <w:rsids>
    <w:rsidRoot w:val="47CD7811"/>
    <w:rsid w:val="47CD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pPr>
      <w:widowControl w:val="0"/>
      <w:jc w:val="both"/>
    </w:pPr>
    <w:rPr>
      <w:rFonts w:ascii="Arial" w:hAnsi="Arial" w:eastAsia="Arial" w:cs="Arial"/>
      <w:kern w:val="2"/>
      <w:sz w:val="21"/>
      <w:szCs w:val="21"/>
      <w:lang w:val="en-US" w:eastAsia="en-US" w:bidi="ar-SA"/>
    </w:rPr>
  </w:style>
  <w:style w:type="paragraph" w:customStyle="1" w:styleId="5">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6">
    <w:name w:val="标准文件_章标题"/>
    <w:next w:val="7"/>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
    <w:name w:val="标准文件_一级条标题"/>
    <w:basedOn w:val="6"/>
    <w:next w:val="7"/>
    <w:qFormat/>
    <w:uiPriority w:val="0"/>
    <w:pPr>
      <w:numPr>
        <w:ilvl w:val="2"/>
      </w:numPr>
      <w:spacing w:before="50" w:beforeLines="50" w:after="50" w:afterLines="50"/>
      <w:outlineLvl w:val="1"/>
    </w:p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69374e7-e13e-492c-b3ab-95abab846d2c}"/>
        <w:style w:val=""/>
        <w:category>
          <w:name w:val="常规"/>
          <w:gallery w:val="placeholder"/>
        </w:category>
        <w:types>
          <w:type w:val="bbPlcHdr"/>
        </w:types>
        <w:behaviors>
          <w:behavior w:val="content"/>
        </w:behaviors>
        <w:description w:val=""/>
        <w:guid w:val="{169374e7-e13e-492c-b3ab-95abab846d2c}"/>
      </w:docPartPr>
      <w:docPartBody>
        <w:p w14:paraId="6218D5D8">
          <w:pPr>
            <w:pStyle w:val="2"/>
          </w:pPr>
          <w:r>
            <w:rPr>
              <w:rStyle w:val="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A982A9C5C039418FAE7D86CD4278CB26"/>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2024-06-11T01:45:00Z</dcterms:created>
  <dc:creator>sai</dc:creator>
  <cp:lastModifiedBy>sai</cp:lastModifiedBy>
  <dcterms:modified xsi:type="dcterms:W3CDTF">2024-06-11T01:46:14Z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796113318152462DAF263CE2BB1566E5_11</vt:lpwstr>
  </property>
</Properties>
</file>