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560" w:lineRule="exact"/>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市属社会团体2023年度财务审计报告要求</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 w:firstLineChars="200"/>
        <w:textAlignment w:val="auto"/>
        <w:rPr>
          <w:rFonts w:hint="eastAsia" w:ascii="宋体" w:hAnsi="宋体" w:cs="宋体"/>
          <w:sz w:val="24"/>
          <w:szCs w:val="24"/>
          <w:highlight w:val="yellow"/>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一、社会团体为非营利性社会组织，区别于企业、公司等营利性组织，也区别于政府机关、事业单位等非营利性组织</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审计机构在承接社会团体年度财务审计业务时，应熟知社会团体相关政策，以提高出具的审计报告质量。</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二、审计机构应严格按照审计准则的规定，执行审计工作，形成规范全面的工作底稿，并及时出具审计报告。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三、市属社会团体年度审计的主要内容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color w:val="000000"/>
          <w:kern w:val="0"/>
          <w:sz w:val="32"/>
          <w:szCs w:val="32"/>
          <w:highlight w:val="none"/>
          <w:lang w:val="en-US" w:eastAsia="zh-CN" w:bidi="ar-SA"/>
        </w:rPr>
        <w:t>.制度制定和执行情况：财务制度、资产管理制度等的制定和执行情况。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color w:val="000000"/>
          <w:kern w:val="0"/>
          <w:sz w:val="32"/>
          <w:szCs w:val="32"/>
          <w:highlight w:val="none"/>
          <w:lang w:val="en-US" w:eastAsia="zh-CN" w:bidi="ar-SA"/>
        </w:rPr>
        <w:t>.银行账户开立及管理情况：通过查询并打印《已开立银行结算账户清单》，对银行账户的完整性进行审验；账户管理情况。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color w:val="000000"/>
          <w:kern w:val="0"/>
          <w:sz w:val="32"/>
          <w:szCs w:val="32"/>
          <w:highlight w:val="none"/>
          <w:lang w:val="en-US" w:eastAsia="zh-CN" w:bidi="ar-SA"/>
        </w:rPr>
        <w:t>.财务资产管理情况：会计核算和财务管理是否符合《中华人民共和国会计法》和《民间非营利组织会计制度》的相关要求；会计报表的真实性、完整性、公允性；资金收支、资产管理和投资管理情况；票据使用管理情况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Times New Roman" w:hAnsi="Times New Roman" w:eastAsia="仿宋_GB2312" w:cs="Times New Roman"/>
          <w:sz w:val="32"/>
          <w:szCs w:val="32"/>
          <w:lang w:val="en-US" w:eastAsia="zh-CN"/>
        </w:rPr>
        <w:t>4</w:t>
      </w:r>
      <w:r>
        <w:rPr>
          <w:rFonts w:hint="eastAsia" w:ascii="仿宋_GB2312" w:hAnsi="仿宋_GB2312" w:eastAsia="仿宋_GB2312" w:cs="仿宋_GB2312"/>
          <w:color w:val="000000"/>
          <w:kern w:val="0"/>
          <w:sz w:val="32"/>
          <w:szCs w:val="32"/>
          <w:highlight w:val="none"/>
          <w:lang w:val="en-US" w:eastAsia="zh-CN" w:bidi="ar-SA"/>
        </w:rPr>
        <w:t>.收费情况，包括：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w:t>
      </w: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color w:val="000000"/>
          <w:kern w:val="0"/>
          <w:sz w:val="32"/>
          <w:szCs w:val="32"/>
          <w:highlight w:val="none"/>
          <w:lang w:val="en-US" w:eastAsia="zh-CN" w:bidi="ar-SA"/>
        </w:rPr>
        <w:t>）会费制定程序、会费标准以及收支情况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color w:val="000000"/>
          <w:kern w:val="0"/>
          <w:sz w:val="32"/>
          <w:szCs w:val="32"/>
          <w:highlight w:val="none"/>
          <w:lang w:val="en-US" w:eastAsia="zh-CN" w:bidi="ar-SA"/>
        </w:rPr>
        <w:t>）其他收费情况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Times New Roman" w:hAnsi="Times New Roman" w:eastAsia="仿宋_GB2312" w:cs="Times New Roman"/>
          <w:sz w:val="32"/>
          <w:szCs w:val="32"/>
          <w:lang w:val="en-US" w:eastAsia="zh-CN"/>
        </w:rPr>
        <w:t>5</w:t>
      </w:r>
      <w:r>
        <w:rPr>
          <w:rFonts w:hint="eastAsia" w:ascii="仿宋_GB2312" w:hAnsi="仿宋_GB2312" w:eastAsia="仿宋_GB2312" w:cs="仿宋_GB2312"/>
          <w:color w:val="000000"/>
          <w:kern w:val="0"/>
          <w:sz w:val="32"/>
          <w:szCs w:val="32"/>
          <w:highlight w:val="none"/>
          <w:lang w:val="en-US" w:eastAsia="zh-CN" w:bidi="ar-SA"/>
        </w:rPr>
        <w:t>.分支机构、代表机构的设立管理情况；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分支机构、代表机构的设立情况；全部收支是否纳入社会团体财务统一核算、管理。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Times New Roman" w:hAnsi="Times New Roman" w:eastAsia="仿宋_GB2312" w:cs="Times New Roman"/>
          <w:sz w:val="32"/>
          <w:szCs w:val="32"/>
          <w:lang w:val="en-US" w:eastAsia="zh-CN"/>
        </w:rPr>
        <w:t>6</w:t>
      </w:r>
      <w:r>
        <w:rPr>
          <w:rFonts w:hint="eastAsia" w:ascii="仿宋_GB2312" w:hAnsi="仿宋_GB2312" w:eastAsia="仿宋_GB2312" w:cs="仿宋_GB2312"/>
          <w:color w:val="000000"/>
          <w:kern w:val="0"/>
          <w:sz w:val="32"/>
          <w:szCs w:val="32"/>
          <w:highlight w:val="none"/>
          <w:lang w:val="en-US" w:eastAsia="zh-CN" w:bidi="ar-SA"/>
        </w:rPr>
        <w:t>.已脱钩的行业协会商会国有资产和暂按国有资产管理的资产的资产情况。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Times New Roman" w:hAnsi="Times New Roman" w:eastAsia="仿宋_GB2312" w:cs="Times New Roman"/>
          <w:sz w:val="32"/>
          <w:szCs w:val="32"/>
          <w:lang w:val="en-US" w:eastAsia="zh-CN"/>
        </w:rPr>
        <w:t>7</w:t>
      </w:r>
      <w:r>
        <w:rPr>
          <w:rFonts w:hint="eastAsia" w:ascii="仿宋_GB2312" w:hAnsi="仿宋_GB2312" w:eastAsia="仿宋_GB2312" w:cs="仿宋_GB2312"/>
          <w:color w:val="000000"/>
          <w:kern w:val="0"/>
          <w:sz w:val="32"/>
          <w:szCs w:val="32"/>
          <w:highlight w:val="none"/>
          <w:lang w:val="en-US" w:eastAsia="zh-CN" w:bidi="ar-SA"/>
        </w:rPr>
        <w:t>.负责人和工作人员获得的薪金等报酬情况。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Times New Roman" w:hAnsi="Times New Roman" w:eastAsia="仿宋_GB2312" w:cs="Times New Roman"/>
          <w:sz w:val="32"/>
          <w:szCs w:val="32"/>
          <w:lang w:val="en-US" w:eastAsia="zh-CN"/>
        </w:rPr>
        <w:t>8</w:t>
      </w:r>
      <w:r>
        <w:rPr>
          <w:rFonts w:hint="eastAsia" w:ascii="仿宋_GB2312" w:hAnsi="仿宋_GB2312" w:eastAsia="仿宋_GB2312" w:cs="仿宋_GB2312"/>
          <w:color w:val="000000"/>
          <w:kern w:val="0"/>
          <w:sz w:val="32"/>
          <w:szCs w:val="32"/>
          <w:highlight w:val="none"/>
          <w:lang w:val="en-US" w:eastAsia="zh-CN" w:bidi="ar-SA"/>
        </w:rPr>
        <w:t>.是否遵守非营利性准则情况。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Times New Roman" w:hAnsi="Times New Roman" w:eastAsia="仿宋_GB2312" w:cs="Times New Roman"/>
          <w:sz w:val="32"/>
          <w:szCs w:val="32"/>
          <w:lang w:val="en-US" w:eastAsia="zh-CN"/>
        </w:rPr>
        <w:t>9</w:t>
      </w:r>
      <w:r>
        <w:rPr>
          <w:rFonts w:hint="eastAsia" w:ascii="仿宋_GB2312" w:hAnsi="仿宋_GB2312" w:eastAsia="仿宋_GB2312" w:cs="仿宋_GB2312"/>
          <w:color w:val="000000"/>
          <w:kern w:val="0"/>
          <w:sz w:val="32"/>
          <w:szCs w:val="32"/>
          <w:highlight w:val="none"/>
          <w:lang w:val="en-US" w:eastAsia="zh-CN" w:bidi="ar-SA"/>
        </w:rPr>
        <w:t>.是否存在其他违反《会计法》《民间非营利组织会计制度》和社会团体管理规定的行为。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四、审计机构应当将年度审计内容以适当方式在审计报告中进行描述【例如：截止</w:t>
      </w:r>
      <w:r>
        <w:rPr>
          <w:rFonts w:hint="eastAsia" w:ascii="仿宋_GB2312" w:hAnsi="仿宋_GB2312" w:eastAsia="仿宋_GB2312" w:cs="仿宋_GB2312"/>
          <w:color w:val="000000"/>
          <w:kern w:val="0"/>
          <w:sz w:val="32"/>
          <w:szCs w:val="32"/>
          <w:highlight w:val="none"/>
          <w:lang w:val="en-US" w:eastAsia="zh-CN" w:bidi="ar-SA"/>
        </w:rPr>
        <w:fldChar w:fldCharType="begin"/>
      </w:r>
      <w:r>
        <w:rPr>
          <w:rFonts w:hint="eastAsia" w:ascii="仿宋_GB2312" w:hAnsi="仿宋_GB2312" w:eastAsia="仿宋_GB2312" w:cs="仿宋_GB2312"/>
          <w:color w:val="000000"/>
          <w:kern w:val="0"/>
          <w:sz w:val="32"/>
          <w:szCs w:val="32"/>
          <w:highlight w:val="none"/>
          <w:lang w:val="en-US" w:eastAsia="zh-CN" w:bidi="ar-SA"/>
        </w:rPr>
        <w:instrText xml:space="preserve"> REF 年 \h  \* MERGEFORMAT </w:instrText>
      </w:r>
      <w:r>
        <w:rPr>
          <w:rFonts w:hint="eastAsia" w:ascii="仿宋_GB2312" w:hAnsi="仿宋_GB2312" w:eastAsia="仿宋_GB2312" w:cs="仿宋_GB2312"/>
          <w:color w:val="000000"/>
          <w:kern w:val="0"/>
          <w:sz w:val="32"/>
          <w:szCs w:val="32"/>
          <w:highlight w:val="none"/>
          <w:lang w:val="en-US" w:eastAsia="zh-CN" w:bidi="ar-SA"/>
        </w:rPr>
        <w:fldChar w:fldCharType="separate"/>
      </w:r>
      <w:r>
        <w:rPr>
          <w:rFonts w:hint="eastAsia" w:ascii="Times New Roman" w:hAnsi="Times New Roman" w:eastAsia="仿宋_GB2312" w:cs="Times New Roman"/>
          <w:sz w:val="32"/>
          <w:szCs w:val="32"/>
          <w:lang w:val="en-US" w:eastAsia="zh-CN"/>
        </w:rPr>
        <w:t>2023</w:t>
      </w:r>
      <w:r>
        <w:rPr>
          <w:rFonts w:hint="eastAsia" w:ascii="仿宋_GB2312" w:hAnsi="仿宋_GB2312" w:eastAsia="仿宋_GB2312" w:cs="仿宋_GB2312"/>
          <w:color w:val="000000"/>
          <w:kern w:val="0"/>
          <w:sz w:val="32"/>
          <w:szCs w:val="32"/>
          <w:highlight w:val="none"/>
          <w:lang w:val="en-US" w:eastAsia="zh-CN" w:bidi="ar-SA"/>
        </w:rPr>
        <w:t>年</w:t>
      </w:r>
      <w:r>
        <w:rPr>
          <w:rFonts w:hint="eastAsia" w:ascii="Times New Roman" w:hAnsi="Times New Roman" w:eastAsia="仿宋_GB2312" w:cs="Times New Roman"/>
          <w:sz w:val="32"/>
          <w:szCs w:val="32"/>
          <w:lang w:val="en-US" w:eastAsia="zh-CN"/>
        </w:rPr>
        <w:t>12</w:t>
      </w:r>
      <w:r>
        <w:rPr>
          <w:rFonts w:hint="eastAsia" w:ascii="仿宋_GB2312" w:hAnsi="仿宋_GB2312" w:eastAsia="仿宋_GB2312" w:cs="仿宋_GB2312"/>
          <w:color w:val="000000"/>
          <w:kern w:val="0"/>
          <w:sz w:val="32"/>
          <w:szCs w:val="32"/>
          <w:highlight w:val="none"/>
          <w:lang w:val="en-US" w:eastAsia="zh-CN" w:bidi="ar-SA"/>
        </w:rPr>
        <w:t>月</w:t>
      </w:r>
      <w:r>
        <w:rPr>
          <w:rFonts w:hint="eastAsia" w:ascii="Times New Roman" w:hAnsi="Times New Roman" w:eastAsia="仿宋_GB2312" w:cs="Times New Roman"/>
          <w:sz w:val="32"/>
          <w:szCs w:val="32"/>
          <w:lang w:val="en-US" w:eastAsia="zh-CN"/>
        </w:rPr>
        <w:t>31</w:t>
      </w:r>
      <w:r>
        <w:rPr>
          <w:rFonts w:hint="eastAsia" w:ascii="仿宋_GB2312" w:hAnsi="仿宋_GB2312" w:eastAsia="仿宋_GB2312" w:cs="仿宋_GB2312"/>
          <w:color w:val="000000"/>
          <w:kern w:val="0"/>
          <w:sz w:val="32"/>
          <w:szCs w:val="32"/>
          <w:highlight w:val="none"/>
          <w:lang w:val="en-US" w:eastAsia="zh-CN" w:bidi="ar-SA"/>
        </w:rPr>
        <w:t>日</w:t>
      </w:r>
      <w:r>
        <w:rPr>
          <w:rFonts w:hint="eastAsia" w:ascii="仿宋_GB2312" w:hAnsi="仿宋_GB2312" w:eastAsia="仿宋_GB2312" w:cs="仿宋_GB2312"/>
          <w:color w:val="000000"/>
          <w:kern w:val="0"/>
          <w:sz w:val="32"/>
          <w:szCs w:val="32"/>
          <w:highlight w:val="none"/>
          <w:lang w:val="en-US" w:eastAsia="zh-CN" w:bidi="ar-SA"/>
        </w:rPr>
        <w:fldChar w:fldCharType="end"/>
      </w:r>
      <w:r>
        <w:rPr>
          <w:rFonts w:hint="eastAsia" w:ascii="仿宋_GB2312" w:hAnsi="仿宋_GB2312" w:eastAsia="仿宋_GB2312" w:cs="仿宋_GB2312"/>
          <w:color w:val="000000"/>
          <w:kern w:val="0"/>
          <w:sz w:val="32"/>
          <w:szCs w:val="32"/>
          <w:highlight w:val="none"/>
          <w:lang w:val="en-US" w:eastAsia="zh-CN" w:bidi="ar-SA"/>
        </w:rPr>
        <w:t>，</w:t>
      </w:r>
      <w:r>
        <w:rPr>
          <w:rFonts w:hint="eastAsia" w:ascii="仿宋_GB2312" w:hAnsi="仿宋_GB2312" w:eastAsia="仿宋_GB2312" w:cs="仿宋_GB2312"/>
          <w:color w:val="000000"/>
          <w:kern w:val="0"/>
          <w:sz w:val="32"/>
          <w:szCs w:val="32"/>
          <w:highlight w:val="none"/>
          <w:lang w:val="en-US" w:eastAsia="zh-CN" w:bidi="ar-SA"/>
        </w:rPr>
        <w:fldChar w:fldCharType="begin"/>
      </w:r>
      <w:r>
        <w:rPr>
          <w:rFonts w:hint="eastAsia" w:ascii="仿宋_GB2312" w:hAnsi="仿宋_GB2312" w:eastAsia="仿宋_GB2312" w:cs="仿宋_GB2312"/>
          <w:color w:val="000000"/>
          <w:kern w:val="0"/>
          <w:sz w:val="32"/>
          <w:szCs w:val="32"/>
          <w:highlight w:val="none"/>
          <w:lang w:val="en-US" w:eastAsia="zh-CN" w:bidi="ar-SA"/>
        </w:rPr>
        <w:instrText xml:space="preserve"> REF 单位名称 \h  \* MERGEFORMAT </w:instrText>
      </w:r>
      <w:r>
        <w:rPr>
          <w:rFonts w:hint="eastAsia" w:ascii="仿宋_GB2312" w:hAnsi="仿宋_GB2312" w:eastAsia="仿宋_GB2312" w:cs="仿宋_GB2312"/>
          <w:color w:val="000000"/>
          <w:kern w:val="0"/>
          <w:sz w:val="32"/>
          <w:szCs w:val="32"/>
          <w:highlight w:val="none"/>
          <w:lang w:val="en-US" w:eastAsia="zh-CN" w:bidi="ar-SA"/>
        </w:rPr>
        <w:fldChar w:fldCharType="separate"/>
      </w:r>
      <w:r>
        <w:rPr>
          <w:rFonts w:hint="eastAsia" w:ascii="仿宋_GB2312" w:hAnsi="仿宋_GB2312" w:eastAsia="仿宋_GB2312" w:cs="仿宋_GB2312"/>
          <w:color w:val="000000"/>
          <w:kern w:val="0"/>
          <w:sz w:val="32"/>
          <w:szCs w:val="32"/>
          <w:highlight w:val="none"/>
          <w:lang w:val="en-US" w:eastAsia="zh-CN" w:bidi="ar-SA"/>
        </w:rPr>
        <w:t>（社会团体名称）</w:t>
      </w:r>
      <w:r>
        <w:rPr>
          <w:rFonts w:hint="eastAsia" w:ascii="仿宋_GB2312" w:hAnsi="仿宋_GB2312" w:eastAsia="仿宋_GB2312" w:cs="仿宋_GB2312"/>
          <w:color w:val="000000"/>
          <w:kern w:val="0"/>
          <w:sz w:val="32"/>
          <w:szCs w:val="32"/>
          <w:highlight w:val="none"/>
          <w:lang w:val="en-US" w:eastAsia="zh-CN" w:bidi="ar-SA"/>
        </w:rPr>
        <w:fldChar w:fldCharType="end"/>
      </w:r>
      <w:r>
        <w:rPr>
          <w:rFonts w:hint="eastAsia" w:ascii="仿宋_GB2312" w:hAnsi="仿宋_GB2312" w:eastAsia="仿宋_GB2312" w:cs="仿宋_GB2312"/>
          <w:color w:val="000000"/>
          <w:kern w:val="0"/>
          <w:sz w:val="32"/>
          <w:szCs w:val="32"/>
          <w:highlight w:val="none"/>
          <w:lang w:val="en-US" w:eastAsia="zh-CN" w:bidi="ar-SA"/>
        </w:rPr>
        <w:t>设立</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color w:val="000000"/>
          <w:kern w:val="0"/>
          <w:sz w:val="32"/>
          <w:szCs w:val="32"/>
          <w:highlight w:val="none"/>
          <w:lang w:val="en-US" w:eastAsia="zh-CN" w:bidi="ar-SA"/>
        </w:rPr>
        <w:t>个分支（代表）机构，分别为：</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color w:val="000000"/>
          <w:kern w:val="0"/>
          <w:sz w:val="32"/>
          <w:szCs w:val="32"/>
          <w:highlight w:val="none"/>
          <w:lang w:val="en-US" w:eastAsia="zh-CN" w:bidi="ar-SA"/>
        </w:rPr>
        <w:t>、</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color w:val="000000"/>
          <w:kern w:val="0"/>
          <w:sz w:val="32"/>
          <w:szCs w:val="32"/>
          <w:highlight w:val="none"/>
          <w:lang w:val="en-US" w:eastAsia="zh-CN" w:bidi="ar-SA"/>
        </w:rPr>
        <w:t>……；分支（代表）机构财务管理情况为（是否全部纳入社会团体财务统一核算、管理）：其中××家纳入协会账户统一管理，××家无财务收支发生】，报告中每个项目应描述清楚【应收账款要写清具体情况，对账龄进行分析，分析可实现程度等；固定资产要列出固定资产明细（包括固定资产名称、成本、购买时间、折旧年限、累计折旧、净值等）；投资要描述被投资方的现状；……】，力求报告使用者（业务主管单位、登记管理机关、社团理事等）全面准确地</w:t>
      </w:r>
      <w:bookmarkStart w:id="0" w:name="_GoBack"/>
      <w:bookmarkEnd w:id="0"/>
      <w:r>
        <w:rPr>
          <w:rFonts w:hint="eastAsia" w:ascii="仿宋_GB2312" w:hAnsi="仿宋_GB2312" w:eastAsia="仿宋_GB2312" w:cs="仿宋_GB2312"/>
          <w:color w:val="000000"/>
          <w:kern w:val="0"/>
          <w:sz w:val="32"/>
          <w:szCs w:val="32"/>
          <w:highlight w:val="none"/>
          <w:lang w:val="en-US" w:eastAsia="zh-CN" w:bidi="ar-SA"/>
        </w:rPr>
        <w:t>掌握被审计单位审计情况。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0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YTBmOTgyNjFiYmNkYjM5ZDQxMGE1MWU3YjlhM2UifQ=="/>
  </w:docVars>
  <w:rsids>
    <w:rsidRoot w:val="127276FB"/>
    <w:rsid w:val="127276FB"/>
    <w:rsid w:val="5E5F1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360" w:lineRule="auto"/>
      <w:ind w:firstLine="1648" w:firstLineChars="200"/>
    </w:pPr>
    <w:rPr>
      <w:sz w:val="32"/>
      <w:szCs w:val="20"/>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2024-03-06T06:42:00Z</dcterms:created>
  <dc:creator>sai</dc:creator>
  <cp:lastModifiedBy>sai</cp:lastModifiedBy>
  <dcterms:modified xsi:type="dcterms:W3CDTF">2024-03-06T06:55:34Z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221425C818D74F44BA778CA4254C5342_11</vt:lpwstr>
  </property>
</Properties>
</file>