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sz w:val="32"/>
          <w:szCs w:val="32"/>
          <w:highlight w:val="none"/>
          <w:lang w:eastAsia="zh-CN"/>
        </w:rPr>
      </w:pPr>
      <w:r>
        <w:rPr>
          <w:rFonts w:ascii="Times New Roman" w:hAnsi="黑体" w:eastAsia="黑体"/>
          <w:sz w:val="32"/>
          <w:szCs w:val="32"/>
          <w:highlight w:val="none"/>
        </w:rPr>
        <w:t>附</w:t>
      </w:r>
      <w:r>
        <w:rPr>
          <w:rFonts w:hint="eastAsia" w:ascii="黑体" w:hAnsi="黑体" w:eastAsia="黑体" w:cs="黑体"/>
          <w:sz w:val="32"/>
          <w:szCs w:val="32"/>
          <w:highlight w:val="none"/>
        </w:rPr>
        <w:t>件</w:t>
      </w:r>
      <w:r>
        <w:rPr>
          <w:rFonts w:hint="eastAsia" w:ascii="黑体" w:hAnsi="黑体" w:eastAsia="黑体" w:cs="黑体"/>
          <w:sz w:val="32"/>
          <w:szCs w:val="32"/>
          <w:highlight w:val="none"/>
          <w:lang w:val="en-US" w:eastAsia="zh-CN"/>
        </w:rPr>
        <w:t>2</w:t>
      </w:r>
    </w:p>
    <w:p>
      <w:pPr>
        <w:widowControl/>
        <w:spacing w:line="560" w:lineRule="exact"/>
        <w:jc w:val="center"/>
        <w:rPr>
          <w:rFonts w:ascii="Times New Roman" w:hAnsi="Times New Roman" w:eastAsia="方正小标宋简体"/>
          <w:b/>
          <w:bCs/>
          <w:sz w:val="44"/>
          <w:szCs w:val="44"/>
          <w:highlight w:val="none"/>
        </w:rPr>
      </w:pPr>
      <w:r>
        <w:rPr>
          <w:rFonts w:ascii="Times New Roman" w:eastAsia="方正小标宋简体"/>
          <w:sz w:val="44"/>
          <w:szCs w:val="44"/>
          <w:highlight w:val="none"/>
        </w:rPr>
        <w:t>市属社会团体财务审计报告模板</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before="312" w:beforeLines="100" w:line="480" w:lineRule="exact"/>
        <w:ind w:left="91"/>
        <w:jc w:val="center"/>
        <w:rPr>
          <w:rFonts w:ascii="Times New Roman" w:hAnsi="Times New Roman" w:eastAsia="楷体"/>
          <w:b/>
          <w:bCs/>
          <w:kern w:val="0"/>
          <w:sz w:val="36"/>
          <w:szCs w:val="36"/>
          <w:highlight w:val="none"/>
        </w:rPr>
      </w:pP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报</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告</w:t>
      </w:r>
    </w:p>
    <w:p>
      <w:pPr>
        <w:adjustRightInd w:val="0"/>
        <w:snapToGrid w:val="0"/>
        <w:spacing w:before="218" w:beforeLines="70" w:after="218" w:afterLines="70" w:line="400" w:lineRule="exact"/>
        <w:ind w:right="215"/>
        <w:rPr>
          <w:rFonts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bCs/>
          <w:sz w:val="24"/>
          <w:szCs w:val="21"/>
          <w:highlight w:val="none"/>
        </w:rPr>
        <w:t>（社团名称）</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我们审计了后附的天津市</w:t>
      </w:r>
      <w:r>
        <w:rPr>
          <w:rFonts w:ascii="Times New Roman" w:hAnsi="Times New Roman" w:eastAsia="楷体_GB2312"/>
          <w:bCs/>
          <w:sz w:val="24"/>
          <w:szCs w:val="21"/>
          <w:highlight w:val="none"/>
        </w:rPr>
        <w:t>**</w:t>
      </w:r>
      <w:r>
        <w:rPr>
          <w:rFonts w:ascii="Times New Roman" w:eastAsia="楷体_GB2312"/>
          <w:sz w:val="24"/>
          <w:szCs w:val="21"/>
          <w:highlight w:val="none"/>
        </w:rPr>
        <w:t>财务报表，包括</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日的资产负债表、</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年度的业务活动表和现金流量表以及会计报表附注</w:t>
      </w:r>
      <w:r>
        <w:rPr>
          <w:rFonts w:hint="eastAsia" w:ascii="Times New Roman" w:eastAsia="楷体_GB2312"/>
          <w:sz w:val="24"/>
          <w:szCs w:val="21"/>
          <w:highlight w:val="none"/>
        </w:rPr>
        <w:t>等相关内容</w:t>
      </w:r>
      <w:r>
        <w:rPr>
          <w:rFonts w:ascii="Times New Roman" w:eastAsia="楷体_GB2312"/>
          <w:sz w:val="24"/>
          <w:szCs w:val="21"/>
          <w:highlight w:val="none"/>
        </w:rPr>
        <w:t>。</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一、管理层对财务报表的责任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按照《社会团体登记管理条例》和《民间非营利组织会计制度》</w:t>
      </w:r>
      <w:r>
        <w:rPr>
          <w:rFonts w:hint="eastAsia" w:ascii="Times New Roman" w:eastAsia="楷体_GB2312"/>
          <w:sz w:val="24"/>
          <w:szCs w:val="21"/>
          <w:highlight w:val="none"/>
        </w:rPr>
        <w:t>等相关</w:t>
      </w:r>
      <w:r>
        <w:rPr>
          <w:rFonts w:ascii="Times New Roman" w:eastAsia="楷体_GB2312"/>
          <w:sz w:val="24"/>
          <w:szCs w:val="21"/>
          <w:highlight w:val="none"/>
        </w:rPr>
        <w:t>规定编制财务报表是天津市</w:t>
      </w:r>
      <w:r>
        <w:rPr>
          <w:rFonts w:ascii="Times New Roman" w:hAnsi="Times New Roman" w:eastAsia="楷体_GB2312"/>
          <w:bCs/>
          <w:sz w:val="24"/>
          <w:szCs w:val="21"/>
          <w:highlight w:val="none"/>
        </w:rPr>
        <w:t>****</w:t>
      </w:r>
      <w:r>
        <w:rPr>
          <w:rFonts w:ascii="Times New Roman" w:eastAsia="楷体_GB2312"/>
          <w:sz w:val="24"/>
          <w:szCs w:val="21"/>
          <w:highlight w:val="none"/>
        </w:rPr>
        <w:t>管理层的责任。这种责任包括：（</w:t>
      </w:r>
      <w:r>
        <w:rPr>
          <w:rFonts w:ascii="Times New Roman" w:hAnsi="Times New Roman" w:eastAsia="楷体_GB2312"/>
          <w:sz w:val="24"/>
          <w:szCs w:val="21"/>
          <w:highlight w:val="none"/>
        </w:rPr>
        <w:t>1</w:t>
      </w:r>
      <w:r>
        <w:rPr>
          <w:rFonts w:ascii="Times New Roman" w:eastAsia="楷体_GB2312"/>
          <w:sz w:val="24"/>
          <w:szCs w:val="21"/>
          <w:highlight w:val="none"/>
        </w:rPr>
        <w:t>）设计、实施和维护与财务报表编制相关的内部控制，以使财务报表不存在由于舞弊或错误而导致的重大错报；（</w:t>
      </w:r>
      <w:r>
        <w:rPr>
          <w:rFonts w:ascii="Times New Roman" w:hAnsi="Times New Roman" w:eastAsia="楷体_GB2312"/>
          <w:sz w:val="24"/>
          <w:szCs w:val="21"/>
          <w:highlight w:val="none"/>
        </w:rPr>
        <w:t>2</w:t>
      </w:r>
      <w:r>
        <w:rPr>
          <w:rFonts w:ascii="Times New Roman" w:eastAsia="楷体_GB2312"/>
          <w:sz w:val="24"/>
          <w:szCs w:val="21"/>
          <w:highlight w:val="none"/>
        </w:rPr>
        <w:t>）选择和运用恰当的会计政策；（</w:t>
      </w:r>
      <w:r>
        <w:rPr>
          <w:rFonts w:ascii="Times New Roman" w:hAnsi="Times New Roman" w:eastAsia="楷体_GB2312"/>
          <w:sz w:val="24"/>
          <w:szCs w:val="21"/>
          <w:highlight w:val="none"/>
        </w:rPr>
        <w:t>3</w:t>
      </w:r>
      <w:r>
        <w:rPr>
          <w:rFonts w:ascii="Times New Roman" w:eastAsia="楷体_GB2312"/>
          <w:sz w:val="24"/>
          <w:szCs w:val="21"/>
          <w:highlight w:val="none"/>
        </w:rPr>
        <w:t>）做出合理的会计估计。</w:t>
      </w:r>
    </w:p>
    <w:p>
      <w:pPr>
        <w:spacing w:line="400" w:lineRule="exact"/>
        <w:ind w:firstLine="482" w:firstLineChars="200"/>
        <w:rPr>
          <w:rFonts w:hint="eastAsia" w:ascii="Times New Roman" w:hAnsi="Times New Roman" w:eastAsia="楷体_GB2312"/>
          <w:b/>
          <w:bCs/>
          <w:sz w:val="24"/>
          <w:szCs w:val="21"/>
          <w:highlight w:val="none"/>
        </w:rPr>
      </w:pPr>
      <w:r>
        <w:rPr>
          <w:rFonts w:ascii="Times New Roman" w:eastAsia="楷体_GB2312"/>
          <w:b/>
          <w:bCs/>
          <w:sz w:val="24"/>
          <w:szCs w:val="21"/>
          <w:highlight w:val="none"/>
        </w:rPr>
        <w:t>二、注册会计师的责任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我们相信，我们获取的审计证据是充分、适当的，为发表审计意见提供了基础。</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三、基本情况</w:t>
      </w:r>
    </w:p>
    <w:p>
      <w:pPr>
        <w:spacing w:line="400" w:lineRule="exact"/>
        <w:ind w:firstLine="480" w:firstLineChars="200"/>
        <w:rPr>
          <w:rFonts w:asci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sz w:val="24"/>
          <w:szCs w:val="21"/>
          <w:highlight w:val="none"/>
        </w:rPr>
        <w:t>统一信用代码为</w:t>
      </w:r>
      <w:r>
        <w:rPr>
          <w:rFonts w:ascii="Times New Roman" w:hAnsi="Times New Roman" w:eastAsia="楷体_GB2312"/>
          <w:bCs/>
          <w:sz w:val="24"/>
          <w:szCs w:val="21"/>
          <w:highlight w:val="none"/>
        </w:rPr>
        <w:t>****************</w:t>
      </w:r>
      <w:r>
        <w:rPr>
          <w:rFonts w:ascii="Times New Roman" w:eastAsia="楷体_GB2312"/>
          <w:sz w:val="24"/>
          <w:szCs w:val="21"/>
          <w:highlight w:val="none"/>
        </w:rPr>
        <w:t>。登记证书有效期为</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日至</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日。法定代表人为</w:t>
      </w:r>
      <w:r>
        <w:rPr>
          <w:rFonts w:ascii="Times New Roman" w:hAnsi="Times New Roman" w:eastAsia="楷体_GB2312"/>
          <w:bCs/>
          <w:sz w:val="24"/>
          <w:szCs w:val="21"/>
          <w:highlight w:val="none"/>
        </w:rPr>
        <w:t>****</w:t>
      </w:r>
      <w:r>
        <w:rPr>
          <w:rFonts w:ascii="Times New Roman" w:eastAsia="楷体_GB2312"/>
          <w:sz w:val="24"/>
          <w:szCs w:val="21"/>
          <w:highlight w:val="none"/>
        </w:rPr>
        <w:t>，地址为</w:t>
      </w:r>
      <w:r>
        <w:rPr>
          <w:rFonts w:ascii="Times New Roman" w:hAnsi="Times New Roman" w:eastAsia="楷体_GB2312"/>
          <w:bCs/>
          <w:sz w:val="24"/>
          <w:szCs w:val="21"/>
          <w:highlight w:val="none"/>
        </w:rPr>
        <w:t>****</w:t>
      </w:r>
      <w:r>
        <w:rPr>
          <w:rFonts w:ascii="Times New Roman" w:eastAsia="楷体_GB2312"/>
          <w:sz w:val="24"/>
          <w:szCs w:val="21"/>
          <w:highlight w:val="none"/>
        </w:rPr>
        <w:t>，业务主管单位为</w:t>
      </w:r>
      <w:r>
        <w:rPr>
          <w:rFonts w:ascii="Times New Roman" w:hAnsi="Times New Roman" w:eastAsia="楷体_GB2312"/>
          <w:bCs/>
          <w:sz w:val="24"/>
          <w:szCs w:val="21"/>
          <w:highlight w:val="none"/>
        </w:rPr>
        <w:t>****</w:t>
      </w:r>
      <w:r>
        <w:rPr>
          <w:rFonts w:ascii="Times New Roman" w:eastAsia="楷体_GB2312"/>
          <w:bCs/>
          <w:sz w:val="24"/>
          <w:szCs w:val="21"/>
          <w:highlight w:val="none"/>
        </w:rPr>
        <w:t>，主要经费来源为</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hint="eastAsia" w:ascii="Times New Roman" w:eastAsia="楷体_GB2312"/>
          <w:bCs/>
          <w:sz w:val="24"/>
          <w:szCs w:val="21"/>
          <w:highlight w:val="none"/>
        </w:rPr>
        <w:t>通过已开立银行结算账户清单查证</w:t>
      </w:r>
      <w:r>
        <w:rPr>
          <w:rFonts w:ascii="Times New Roman" w:eastAsia="楷体_GB2312"/>
          <w:bCs/>
          <w:sz w:val="24"/>
          <w:szCs w:val="21"/>
          <w:highlight w:val="none"/>
        </w:rPr>
        <w:t>设立账户</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ascii="Times New Roman" w:eastAsia="楷体_GB2312"/>
          <w:sz w:val="24"/>
          <w:szCs w:val="21"/>
          <w:highlight w:val="none"/>
        </w:rPr>
        <w:t>。</w:t>
      </w:r>
    </w:p>
    <w:p>
      <w:pPr>
        <w:spacing w:line="400" w:lineRule="exact"/>
        <w:rPr>
          <w:rFonts w:hint="eastAsia" w:ascii="Times New Roman" w:eastAsia="楷体_GB2312"/>
          <w:sz w:val="24"/>
          <w:szCs w:val="21"/>
          <w:highlight w:val="none"/>
        </w:rPr>
      </w:pPr>
      <w:r>
        <w:rPr>
          <w:rFonts w:hint="eastAsia" w:ascii="Times New Roman" w:eastAsia="楷体_GB2312"/>
          <w:sz w:val="24"/>
          <w:szCs w:val="21"/>
          <w:highlight w:val="none"/>
        </w:rPr>
        <w:t>（户名、账号、对账单余额逐项列示）</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设立</w:t>
      </w:r>
      <w:r>
        <w:rPr>
          <w:rFonts w:ascii="Times New Roman" w:hAnsi="Times New Roman" w:eastAsia="楷体_GB2312"/>
          <w:bCs/>
          <w:sz w:val="24"/>
          <w:szCs w:val="21"/>
          <w:highlight w:val="none"/>
        </w:rPr>
        <w:t>**</w:t>
      </w:r>
      <w:r>
        <w:rPr>
          <w:rFonts w:ascii="Times New Roman" w:eastAsia="楷体_GB2312"/>
          <w:bCs/>
          <w:sz w:val="24"/>
          <w:szCs w:val="21"/>
          <w:highlight w:val="none"/>
        </w:rPr>
        <w:t>个分支（代表）机构，分支（代表）机构财务管理情况为</w:t>
      </w:r>
      <w:r>
        <w:rPr>
          <w:rFonts w:ascii="Times New Roman" w:eastAsia="楷体_GB2312"/>
          <w:bCs/>
          <w:i/>
          <w:sz w:val="24"/>
          <w:szCs w:val="21"/>
          <w:highlight w:val="none"/>
        </w:rPr>
        <w:t>（是否）</w:t>
      </w:r>
      <w:r>
        <w:rPr>
          <w:rFonts w:ascii="Times New Roman" w:eastAsia="楷体_GB2312"/>
          <w:bCs/>
          <w:sz w:val="24"/>
          <w:szCs w:val="21"/>
          <w:highlight w:val="none"/>
        </w:rPr>
        <w:t>全部纳入社会团体财务统一核算、管理。【若无分支机构则填写为</w:t>
      </w:r>
      <w:r>
        <w:rPr>
          <w:rFonts w:ascii="Times New Roman" w:hAns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未设分支（代表）机构</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对外投资的实体机构</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hint="eastAsia" w:ascii="Times New Roman" w:hAnsi="Times New Roman" w:eastAsia="楷体_GB2312"/>
          <w:bCs/>
          <w:sz w:val="24"/>
          <w:szCs w:val="21"/>
          <w:highlight w:val="none"/>
          <w:lang w:eastAsia="zh-CN"/>
        </w:rPr>
        <w:t>2022</w:t>
      </w:r>
      <w:r>
        <w:rPr>
          <w:rFonts w:ascii="Times New Roman" w:eastAsia="楷体_GB2312"/>
          <w:bCs/>
          <w:sz w:val="24"/>
          <w:szCs w:val="21"/>
          <w:highlight w:val="none"/>
        </w:rPr>
        <w:t>年末职工总计</w:t>
      </w:r>
      <w:r>
        <w:rPr>
          <w:rFonts w:ascii="Times New Roman" w:hAnsi="Times New Roman" w:eastAsia="楷体_GB2312"/>
          <w:bCs/>
          <w:sz w:val="24"/>
          <w:szCs w:val="21"/>
          <w:highlight w:val="none"/>
        </w:rPr>
        <w:t>**</w:t>
      </w:r>
      <w:r>
        <w:rPr>
          <w:rFonts w:ascii="Times New Roman" w:eastAsia="楷体_GB2312"/>
          <w:bCs/>
          <w:sz w:val="24"/>
          <w:szCs w:val="21"/>
          <w:highlight w:val="none"/>
        </w:rPr>
        <w:t>人，其月人均工资</w:t>
      </w:r>
      <w:r>
        <w:rPr>
          <w:rFonts w:ascii="Times New Roman" w:hAnsi="Times New Roman" w:eastAsia="楷体_GB2312"/>
          <w:bCs/>
          <w:sz w:val="24"/>
          <w:szCs w:val="21"/>
          <w:highlight w:val="none"/>
        </w:rPr>
        <w:t>**</w:t>
      </w:r>
      <w:r>
        <w:rPr>
          <w:rFonts w:ascii="Times New Roman" w:eastAsia="楷体_GB2312"/>
          <w:bCs/>
          <w:sz w:val="24"/>
          <w:szCs w:val="21"/>
          <w:highlight w:val="none"/>
        </w:rPr>
        <w:t>元</w:t>
      </w:r>
      <w:r>
        <w:rPr>
          <w:rFonts w:hint="eastAsia" w:ascii="Times New Roman" w:eastAsia="楷体_GB2312"/>
          <w:bCs/>
          <w:sz w:val="24"/>
          <w:szCs w:val="21"/>
          <w:highlight w:val="none"/>
        </w:rPr>
        <w:t>，</w:t>
      </w:r>
      <w:r>
        <w:rPr>
          <w:rFonts w:ascii="Times New Roman" w:eastAsia="楷体_GB2312"/>
          <w:bCs/>
          <w:sz w:val="24"/>
          <w:szCs w:val="21"/>
          <w:highlight w:val="none"/>
        </w:rPr>
        <w:t>专职工作人员</w:t>
      </w:r>
      <w:r>
        <w:rPr>
          <w:rFonts w:ascii="Times New Roman" w:hAnsi="Times New Roman" w:eastAsia="楷体_GB2312"/>
          <w:bCs/>
          <w:sz w:val="24"/>
          <w:szCs w:val="21"/>
          <w:highlight w:val="none"/>
        </w:rPr>
        <w:t>**</w:t>
      </w:r>
      <w:r>
        <w:rPr>
          <w:rFonts w:ascii="Times New Roman" w:eastAsia="楷体_GB2312"/>
          <w:bCs/>
          <w:sz w:val="24"/>
          <w:szCs w:val="21"/>
          <w:highlight w:val="none"/>
        </w:rPr>
        <w:t>人。</w:t>
      </w:r>
    </w:p>
    <w:p>
      <w:pPr>
        <w:spacing w:line="400" w:lineRule="exact"/>
        <w:ind w:firstLine="480" w:firstLineChars="200"/>
        <w:rPr>
          <w:rFonts w:hint="eastAsia"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于**年**月**日召开第**届**次会员（代表）大会/理事会/常务理事会/会长办公会，以无记名投票/举手表决方式通过现行会费标准，共分为**档，分别是：一档**；二档**；三档**；四档**。</w:t>
      </w:r>
      <w:r>
        <w:rPr>
          <w:rFonts w:ascii="Times New Roman" w:eastAsia="楷体_GB2312"/>
          <w:bCs/>
          <w:sz w:val="24"/>
          <w:szCs w:val="21"/>
          <w:highlight w:val="none"/>
        </w:rPr>
        <w:t>【不收会费，标准为</w:t>
      </w:r>
      <w:r>
        <w:rPr>
          <w:rFonts w:ascii="Times New Roman" w:hAnsi="Times New Roman" w:eastAsia="楷体_GB2312"/>
          <w:bCs/>
          <w:sz w:val="24"/>
          <w:szCs w:val="21"/>
          <w:highlight w:val="none"/>
        </w:rPr>
        <w:t>“0</w:t>
      </w:r>
      <w:r>
        <w:rPr>
          <w:rFonts w:ascii="Times New Roman" w:eastAsia="楷体_GB2312"/>
          <w:bCs/>
          <w:sz w:val="24"/>
          <w:szCs w:val="21"/>
          <w:highlight w:val="none"/>
        </w:rPr>
        <w:t>元</w:t>
      </w:r>
      <w:r>
        <w:rPr>
          <w:rFonts w:ascii="Times New Roman" w:hAnsi="Times New Roman" w:eastAsia="楷体_GB2312"/>
          <w:bCs/>
          <w:sz w:val="24"/>
          <w:szCs w:val="21"/>
          <w:highlight w:val="none"/>
        </w:rPr>
        <w:t>”</w:t>
      </w:r>
      <w:r>
        <w:rPr>
          <w:rFonts w:ascii="Times New Roman" w:eastAsia="楷体_GB2312"/>
          <w:bCs/>
          <w:sz w:val="24"/>
          <w:szCs w:val="21"/>
          <w:highlight w:val="none"/>
        </w:rPr>
        <w:t>】</w:t>
      </w:r>
    </w:p>
    <w:p>
      <w:pPr>
        <w:numPr>
          <w:ilvl w:val="0"/>
          <w:numId w:val="1"/>
        </w:numPr>
        <w:spacing w:line="400" w:lineRule="exact"/>
        <w:ind w:firstLine="482" w:firstLineChars="200"/>
        <w:rPr>
          <w:rFonts w:ascii="Times New Roman" w:eastAsia="楷体_GB2312"/>
          <w:b/>
          <w:bCs/>
          <w:sz w:val="24"/>
          <w:szCs w:val="21"/>
          <w:highlight w:val="none"/>
        </w:rPr>
      </w:pPr>
      <w:r>
        <w:rPr>
          <w:rFonts w:ascii="Times New Roman" w:eastAsia="楷体_GB2312"/>
          <w:b/>
          <w:bCs/>
          <w:sz w:val="24"/>
          <w:szCs w:val="21"/>
          <w:highlight w:val="none"/>
        </w:rPr>
        <w:t>财务状况</w:t>
      </w:r>
    </w:p>
    <w:p>
      <w:pPr>
        <w:spacing w:line="400" w:lineRule="exact"/>
        <w:rPr>
          <w:rFonts w:ascii="Times New Roman" w:eastAsia="楷体_GB2312"/>
          <w:b/>
          <w:bCs/>
          <w:sz w:val="24"/>
          <w:szCs w:val="21"/>
          <w:highlight w:val="none"/>
        </w:rPr>
      </w:pPr>
      <w:r>
        <w:rPr>
          <w:rFonts w:hint="eastAsia" w:ascii="Times New Roman" w:eastAsia="楷体_GB2312"/>
          <w:b/>
          <w:bCs/>
          <w:sz w:val="24"/>
          <w:szCs w:val="21"/>
          <w:highlight w:val="none"/>
        </w:rPr>
        <w:t xml:space="preserve">    </w:t>
      </w:r>
      <w:r>
        <w:rPr>
          <w:rFonts w:hint="eastAsia" w:ascii="Times New Roman" w:eastAsia="楷体_GB2312"/>
          <w:sz w:val="24"/>
          <w:szCs w:val="21"/>
          <w:highlight w:val="none"/>
        </w:rPr>
        <w:t>经审计：</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1.</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元，其中：货币资金</w:t>
      </w:r>
      <w:r>
        <w:rPr>
          <w:rFonts w:ascii="Times New Roman" w:hAnsi="Times New Roman" w:eastAsia="楷体_GB2312"/>
          <w:sz w:val="24"/>
          <w:szCs w:val="21"/>
          <w:highlight w:val="none"/>
        </w:rPr>
        <w:t>****</w:t>
      </w:r>
      <w:r>
        <w:rPr>
          <w:rFonts w:ascii="Times New Roman" w:eastAsia="楷体_GB2312"/>
          <w:sz w:val="24"/>
          <w:szCs w:val="21"/>
          <w:highlight w:val="none"/>
        </w:rPr>
        <w:t>元，对外投资</w:t>
      </w:r>
      <w:r>
        <w:rPr>
          <w:rFonts w:ascii="Times New Roman" w:hAnsi="Times New Roman" w:eastAsia="楷体_GB2312"/>
          <w:sz w:val="24"/>
          <w:szCs w:val="21"/>
          <w:highlight w:val="none"/>
        </w:rPr>
        <w:t>****</w:t>
      </w:r>
      <w:r>
        <w:rPr>
          <w:rFonts w:ascii="Times New Roman" w:eastAsia="楷体_GB2312"/>
          <w:sz w:val="24"/>
          <w:szCs w:val="21"/>
          <w:highlight w:val="none"/>
        </w:rPr>
        <w:t>元，应收款项</w:t>
      </w:r>
      <w:r>
        <w:rPr>
          <w:rFonts w:ascii="Times New Roman" w:hAnsi="Times New Roman" w:eastAsia="楷体_GB2312"/>
          <w:sz w:val="24"/>
          <w:szCs w:val="21"/>
          <w:highlight w:val="none"/>
        </w:rPr>
        <w:t>****</w:t>
      </w:r>
      <w:r>
        <w:rPr>
          <w:rFonts w:ascii="Times New Roman" w:eastAsia="楷体_GB2312"/>
          <w:sz w:val="24"/>
          <w:szCs w:val="21"/>
          <w:highlight w:val="none"/>
        </w:rPr>
        <w:t>，其中：应收账款</w:t>
      </w:r>
      <w:r>
        <w:rPr>
          <w:rFonts w:ascii="Times New Roman" w:hAnsi="Times New Roman" w:eastAsia="楷体_GB2312"/>
          <w:sz w:val="24"/>
          <w:szCs w:val="21"/>
          <w:highlight w:val="none"/>
        </w:rPr>
        <w:t>****</w:t>
      </w:r>
      <w:r>
        <w:rPr>
          <w:rFonts w:ascii="Times New Roman" w:eastAsia="楷体_GB2312"/>
          <w:sz w:val="24"/>
          <w:szCs w:val="21"/>
          <w:highlight w:val="none"/>
        </w:rPr>
        <w:t>元、其他应收款</w:t>
      </w:r>
      <w:r>
        <w:rPr>
          <w:rFonts w:ascii="Times New Roman" w:hAnsi="Times New Roman" w:eastAsia="楷体_GB2312"/>
          <w:sz w:val="24"/>
          <w:szCs w:val="21"/>
          <w:highlight w:val="none"/>
        </w:rPr>
        <w:t>****</w:t>
      </w:r>
      <w:r>
        <w:rPr>
          <w:rFonts w:ascii="Times New Roman" w:eastAsia="楷体_GB2312"/>
          <w:sz w:val="24"/>
          <w:szCs w:val="21"/>
          <w:highlight w:val="none"/>
        </w:rPr>
        <w:t>元，固定资产原值</w:t>
      </w:r>
      <w:r>
        <w:rPr>
          <w:rFonts w:ascii="Times New Roman" w:hAnsi="Times New Roman" w:eastAsia="楷体_GB2312"/>
          <w:sz w:val="24"/>
          <w:szCs w:val="21"/>
          <w:highlight w:val="none"/>
        </w:rPr>
        <w:t>****</w:t>
      </w:r>
      <w:r>
        <w:rPr>
          <w:rFonts w:ascii="Times New Roman" w:eastAsia="楷体_GB2312"/>
          <w:sz w:val="24"/>
          <w:szCs w:val="21"/>
          <w:highlight w:val="none"/>
        </w:rPr>
        <w:t>元，累计折旧</w:t>
      </w:r>
      <w:r>
        <w:rPr>
          <w:rFonts w:ascii="Times New Roman" w:hAnsi="Times New Roman" w:eastAsia="楷体_GB2312"/>
          <w:sz w:val="24"/>
          <w:szCs w:val="21"/>
          <w:highlight w:val="none"/>
        </w:rPr>
        <w:t>****</w:t>
      </w:r>
      <w:r>
        <w:rPr>
          <w:rFonts w:ascii="Times New Roman" w:eastAsia="楷体_GB2312"/>
          <w:sz w:val="24"/>
          <w:szCs w:val="21"/>
          <w:highlight w:val="none"/>
        </w:rPr>
        <w:t>元，固定资产净值</w:t>
      </w:r>
      <w:r>
        <w:rPr>
          <w:rFonts w:ascii="Times New Roman" w:hAnsi="Times New Roman" w:eastAsia="楷体_GB2312"/>
          <w:sz w:val="24"/>
          <w:szCs w:val="21"/>
          <w:highlight w:val="none"/>
        </w:rPr>
        <w:t>****</w:t>
      </w:r>
      <w:r>
        <w:rPr>
          <w:rFonts w:ascii="Times New Roman" w:eastAsia="楷体_GB2312"/>
          <w:sz w:val="24"/>
          <w:szCs w:val="21"/>
          <w:highlight w:val="none"/>
        </w:rPr>
        <w:t>元，受托代理资产</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行业协会商会</w:t>
      </w:r>
      <w:r>
        <w:rPr>
          <w:rFonts w:ascii="Times New Roman" w:eastAsia="楷体_GB2312"/>
          <w:sz w:val="24"/>
          <w:szCs w:val="21"/>
          <w:highlight w:val="none"/>
        </w:rPr>
        <w:t>国有资产和暂按国有资产管理的资产总额为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元，其中：国有资产</w:t>
      </w:r>
      <w:r>
        <w:rPr>
          <w:rFonts w:ascii="Times New Roman" w:hAnsi="Times New Roman" w:eastAsia="楷体_GB2312"/>
          <w:sz w:val="24"/>
          <w:szCs w:val="21"/>
          <w:highlight w:val="none"/>
        </w:rPr>
        <w:t>****</w:t>
      </w:r>
      <w:r>
        <w:rPr>
          <w:rFonts w:ascii="Times New Roman" w:eastAsia="楷体_GB2312"/>
          <w:sz w:val="24"/>
          <w:szCs w:val="21"/>
          <w:highlight w:val="none"/>
        </w:rPr>
        <w:t>元，暂按国有资产管理的资产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2.</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日负债总额为</w:t>
      </w:r>
      <w:r>
        <w:rPr>
          <w:rFonts w:ascii="Times New Roman" w:hAnsi="Times New Roman" w:eastAsia="楷体_GB2312"/>
          <w:sz w:val="24"/>
          <w:szCs w:val="21"/>
          <w:highlight w:val="none"/>
        </w:rPr>
        <w:t>****</w:t>
      </w:r>
      <w:r>
        <w:rPr>
          <w:rFonts w:ascii="Times New Roman" w:eastAsia="楷体_GB2312"/>
          <w:sz w:val="24"/>
          <w:szCs w:val="21"/>
          <w:highlight w:val="none"/>
        </w:rPr>
        <w:t>元，其中：流动负债</w:t>
      </w:r>
      <w:r>
        <w:rPr>
          <w:rFonts w:ascii="Times New Roman" w:hAnsi="Times New Roman" w:eastAsia="楷体_GB2312"/>
          <w:sz w:val="24"/>
          <w:szCs w:val="21"/>
          <w:highlight w:val="none"/>
        </w:rPr>
        <w:t>****</w:t>
      </w:r>
      <w:r>
        <w:rPr>
          <w:rFonts w:ascii="Times New Roman" w:eastAsia="楷体_GB2312"/>
          <w:sz w:val="24"/>
          <w:szCs w:val="21"/>
          <w:highlight w:val="none"/>
        </w:rPr>
        <w:t>元、长期负债</w:t>
      </w:r>
      <w:r>
        <w:rPr>
          <w:rFonts w:ascii="Times New Roman" w:hAnsi="Times New Roman" w:eastAsia="楷体_GB2312"/>
          <w:sz w:val="24"/>
          <w:szCs w:val="21"/>
          <w:highlight w:val="none"/>
        </w:rPr>
        <w:t>****</w:t>
      </w:r>
      <w:r>
        <w:rPr>
          <w:rFonts w:ascii="Times New Roman" w:eastAsia="楷体_GB2312"/>
          <w:sz w:val="24"/>
          <w:szCs w:val="21"/>
          <w:highlight w:val="none"/>
        </w:rPr>
        <w:t>元、受托代理负债</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600" w:firstLineChars="250"/>
        <w:rPr>
          <w:rFonts w:ascii="Times New Roman" w:hAnsi="Times New Roman" w:eastAsia="楷体_GB2312"/>
          <w:sz w:val="24"/>
          <w:szCs w:val="21"/>
          <w:highlight w:val="none"/>
        </w:rPr>
      </w:pPr>
      <w:r>
        <w:rPr>
          <w:rFonts w:ascii="Times New Roman" w:hAnsi="Times New Roman" w:eastAsia="楷体_GB2312"/>
          <w:sz w:val="24"/>
          <w:szCs w:val="21"/>
          <w:highlight w:val="none"/>
        </w:rPr>
        <w:t>3.</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日净资产总额为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元，其中：限定性净资产</w:t>
      </w:r>
      <w:r>
        <w:rPr>
          <w:rFonts w:ascii="Times New Roman" w:hAnsi="Times New Roman" w:eastAsia="楷体_GB2312"/>
          <w:sz w:val="24"/>
          <w:szCs w:val="21"/>
          <w:highlight w:val="none"/>
        </w:rPr>
        <w:t>****</w:t>
      </w:r>
      <w:r>
        <w:rPr>
          <w:rFonts w:ascii="Times New Roman" w:eastAsia="楷体_GB2312"/>
          <w:sz w:val="24"/>
          <w:szCs w:val="21"/>
          <w:highlight w:val="none"/>
        </w:rPr>
        <w:t>元，非限定性净资产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4.</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年度收入</w:t>
      </w:r>
      <w:r>
        <w:rPr>
          <w:rFonts w:ascii="Times New Roman" w:hAnsi="Times New Roman" w:eastAsia="楷体_GB2312"/>
          <w:sz w:val="24"/>
          <w:szCs w:val="21"/>
          <w:highlight w:val="none"/>
        </w:rPr>
        <w:t>****</w:t>
      </w:r>
      <w:r>
        <w:rPr>
          <w:rFonts w:ascii="Times New Roman" w:eastAsia="楷体_GB2312"/>
          <w:sz w:val="24"/>
          <w:szCs w:val="21"/>
          <w:highlight w:val="none"/>
        </w:rPr>
        <w:t>元，其中：捐赠收入</w:t>
      </w:r>
      <w:r>
        <w:rPr>
          <w:rFonts w:ascii="Times New Roman" w:hAnsi="Times New Roman" w:eastAsia="楷体_GB2312"/>
          <w:sz w:val="24"/>
          <w:szCs w:val="21"/>
          <w:highlight w:val="none"/>
        </w:rPr>
        <w:t>****</w:t>
      </w:r>
      <w:r>
        <w:rPr>
          <w:rFonts w:ascii="Times New Roman" w:eastAsia="楷体_GB2312"/>
          <w:sz w:val="24"/>
          <w:szCs w:val="21"/>
          <w:highlight w:val="none"/>
        </w:rPr>
        <w:t>元，会费收入</w:t>
      </w:r>
      <w:r>
        <w:rPr>
          <w:rFonts w:ascii="Times New Roman" w:hAnsi="Times New Roman" w:eastAsia="楷体_GB2312"/>
          <w:sz w:val="24"/>
          <w:szCs w:val="21"/>
          <w:highlight w:val="none"/>
        </w:rPr>
        <w:t>****</w:t>
      </w:r>
      <w:r>
        <w:rPr>
          <w:rFonts w:ascii="Times New Roman" w:eastAsia="楷体_GB2312"/>
          <w:sz w:val="24"/>
          <w:szCs w:val="21"/>
          <w:highlight w:val="none"/>
        </w:rPr>
        <w:t>元，提供服务收入</w:t>
      </w:r>
      <w:r>
        <w:rPr>
          <w:rFonts w:ascii="Times New Roman" w:hAnsi="Times New Roman" w:eastAsia="楷体_GB2312"/>
          <w:sz w:val="24"/>
          <w:szCs w:val="21"/>
          <w:highlight w:val="none"/>
        </w:rPr>
        <w:t>****</w:t>
      </w:r>
      <w:r>
        <w:rPr>
          <w:rFonts w:ascii="Times New Roman" w:eastAsia="楷体_GB2312"/>
          <w:sz w:val="24"/>
          <w:szCs w:val="21"/>
          <w:highlight w:val="none"/>
        </w:rPr>
        <w:t>元，商品销售收入</w:t>
      </w:r>
      <w:r>
        <w:rPr>
          <w:rFonts w:ascii="Times New Roman" w:hAnsi="Times New Roman" w:eastAsia="楷体_GB2312"/>
          <w:sz w:val="24"/>
          <w:szCs w:val="21"/>
          <w:highlight w:val="none"/>
        </w:rPr>
        <w:t>****</w:t>
      </w:r>
      <w:r>
        <w:rPr>
          <w:rFonts w:ascii="Times New Roman" w:eastAsia="楷体_GB2312"/>
          <w:sz w:val="24"/>
          <w:szCs w:val="21"/>
          <w:highlight w:val="none"/>
        </w:rPr>
        <w:t>元，政府补助收入</w:t>
      </w:r>
      <w:r>
        <w:rPr>
          <w:rFonts w:ascii="Times New Roman" w:hAnsi="Times New Roman" w:eastAsia="楷体_GB2312"/>
          <w:sz w:val="24"/>
          <w:szCs w:val="21"/>
          <w:highlight w:val="none"/>
        </w:rPr>
        <w:t>****</w:t>
      </w:r>
      <w:r>
        <w:rPr>
          <w:rFonts w:ascii="Times New Roman" w:eastAsia="楷体_GB2312"/>
          <w:sz w:val="24"/>
          <w:szCs w:val="21"/>
          <w:highlight w:val="none"/>
        </w:rPr>
        <w:t>元，投资收益</w:t>
      </w:r>
      <w:r>
        <w:rPr>
          <w:rFonts w:ascii="Times New Roman" w:hAnsi="Times New Roman" w:eastAsia="楷体_GB2312"/>
          <w:sz w:val="24"/>
          <w:szCs w:val="21"/>
          <w:highlight w:val="none"/>
        </w:rPr>
        <w:t>****</w:t>
      </w:r>
      <w:r>
        <w:rPr>
          <w:rFonts w:ascii="Times New Roman" w:eastAsia="楷体_GB2312"/>
          <w:sz w:val="24"/>
          <w:szCs w:val="21"/>
          <w:highlight w:val="none"/>
        </w:rPr>
        <w:t>元，其他收入</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rPr>
          <w:rFonts w:ascii="Times New Roman" w:hAnsi="Times New Roman" w:eastAsia="楷体_GB2312"/>
          <w:sz w:val="24"/>
          <w:szCs w:val="21"/>
          <w:highlight w:val="none"/>
        </w:rPr>
      </w:pPr>
      <w:r>
        <w:rPr>
          <w:rFonts w:ascii="Times New Roman" w:hAnsi="Times New Roman" w:eastAsia="楷体_GB2312"/>
          <w:sz w:val="24"/>
          <w:szCs w:val="21"/>
          <w:highlight w:val="none"/>
        </w:rPr>
        <w:t xml:space="preserve">    5.</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年度费用</w:t>
      </w:r>
      <w:r>
        <w:rPr>
          <w:rFonts w:ascii="Times New Roman" w:hAnsi="Times New Roman" w:eastAsia="楷体_GB2312"/>
          <w:sz w:val="24"/>
          <w:szCs w:val="21"/>
          <w:highlight w:val="none"/>
        </w:rPr>
        <w:t>****</w:t>
      </w:r>
      <w:r>
        <w:rPr>
          <w:rFonts w:ascii="Times New Roman" w:eastAsia="楷体_GB2312"/>
          <w:sz w:val="24"/>
          <w:szCs w:val="21"/>
          <w:highlight w:val="none"/>
        </w:rPr>
        <w:t>元，其中：业务活动成本</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（其中捐赠支出</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w:t>
      </w:r>
      <w:r>
        <w:rPr>
          <w:rFonts w:ascii="Times New Roman" w:eastAsia="楷体_GB2312"/>
          <w:sz w:val="24"/>
          <w:szCs w:val="21"/>
          <w:highlight w:val="none"/>
        </w:rPr>
        <w:t>，管理费用</w:t>
      </w:r>
      <w:r>
        <w:rPr>
          <w:rFonts w:ascii="Times New Roman" w:hAnsi="Times New Roman" w:eastAsia="楷体_GB2312"/>
          <w:sz w:val="24"/>
          <w:szCs w:val="21"/>
          <w:highlight w:val="none"/>
        </w:rPr>
        <w:t>****</w:t>
      </w:r>
      <w:r>
        <w:rPr>
          <w:rFonts w:ascii="Times New Roman" w:eastAsia="楷体_GB2312"/>
          <w:sz w:val="24"/>
          <w:szCs w:val="21"/>
          <w:highlight w:val="none"/>
        </w:rPr>
        <w:t>元，筹资费用</w:t>
      </w:r>
      <w:r>
        <w:rPr>
          <w:rFonts w:ascii="Times New Roman" w:hAnsi="Times New Roman" w:eastAsia="楷体_GB2312"/>
          <w:sz w:val="24"/>
          <w:szCs w:val="21"/>
          <w:highlight w:val="none"/>
        </w:rPr>
        <w:t>****</w:t>
      </w:r>
      <w:r>
        <w:rPr>
          <w:rFonts w:ascii="Times New Roman" w:eastAsia="楷体_GB2312"/>
          <w:sz w:val="24"/>
          <w:szCs w:val="21"/>
          <w:highlight w:val="none"/>
        </w:rPr>
        <w:t>元，其他费用</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五、审计意见</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经审计，我们发现天津市</w:t>
      </w:r>
      <w:r>
        <w:rPr>
          <w:rFonts w:ascii="Times New Roman" w:hAnsi="Times New Roman" w:eastAsia="楷体_GB2312"/>
          <w:bCs/>
          <w:sz w:val="24"/>
          <w:szCs w:val="21"/>
          <w:highlight w:val="none"/>
        </w:rPr>
        <w:t>****</w:t>
      </w:r>
      <w:r>
        <w:rPr>
          <w:rFonts w:ascii="Times New Roman" w:eastAsia="楷体_GB2312"/>
          <w:bCs/>
          <w:sz w:val="24"/>
          <w:szCs w:val="21"/>
          <w:highlight w:val="none"/>
        </w:rPr>
        <w:t>存在以下问题：</w:t>
      </w:r>
    </w:p>
    <w:p>
      <w:pPr>
        <w:spacing w:line="400" w:lineRule="exact"/>
        <w:ind w:firstLine="480" w:firstLineChars="200"/>
        <w:rPr>
          <w:rFonts w:hint="eastAsia" w:ascii="Times New Roman" w:eastAsia="楷体_GB2312"/>
          <w:bCs/>
          <w:sz w:val="24"/>
          <w:szCs w:val="21"/>
          <w:highlight w:val="none"/>
        </w:rPr>
      </w:pPr>
      <w:r>
        <w:rPr>
          <w:rFonts w:hint="eastAsia" w:ascii="Times New Roman" w:eastAsia="楷体_GB2312"/>
          <w:bCs/>
          <w:sz w:val="24"/>
          <w:szCs w:val="21"/>
          <w:highlight w:val="none"/>
          <w:lang w:eastAsia="zh-CN"/>
        </w:rPr>
        <w:t>2022</w:t>
      </w:r>
      <w:r>
        <w:rPr>
          <w:rFonts w:hint="eastAsia" w:ascii="Times New Roman" w:eastAsia="楷体_GB2312"/>
          <w:bCs/>
          <w:sz w:val="24"/>
          <w:szCs w:val="21"/>
          <w:highlight w:val="none"/>
        </w:rPr>
        <w:t>年度未依据章程开展业务活动；</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未执行民间非营利组织会计制度；</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会费标准制定、修改与表决方式存在违规情况；</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社会团体净资产低于活动资金；</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存在侵占、私分、挪用社会团体资产或分配盈余的行为；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违规设立评比达标表彰项目并收费；</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违反规定使用票据；</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未</w:t>
      </w:r>
      <w:r>
        <w:rPr>
          <w:rFonts w:hint="eastAsia" w:ascii="Times New Roman" w:eastAsia="楷体_GB2312"/>
          <w:bCs/>
          <w:sz w:val="24"/>
          <w:szCs w:val="21"/>
          <w:highlight w:val="none"/>
        </w:rPr>
        <w:t>按照规定</w:t>
      </w:r>
      <w:r>
        <w:rPr>
          <w:rFonts w:ascii="Times New Roman" w:eastAsia="楷体_GB2312"/>
          <w:bCs/>
          <w:sz w:val="24"/>
          <w:szCs w:val="21"/>
          <w:highlight w:val="none"/>
        </w:rPr>
        <w:t>规范建账；</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财务收支未依法依规纳入单位法定账户；</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分支（代表）机构的全部收</w:t>
      </w:r>
      <w:r>
        <w:rPr>
          <w:rFonts w:hint="eastAsia" w:ascii="Times New Roman" w:eastAsia="楷体_GB2312"/>
          <w:bCs/>
          <w:sz w:val="24"/>
          <w:szCs w:val="21"/>
          <w:highlight w:val="none"/>
        </w:rPr>
        <w:t>支</w:t>
      </w:r>
      <w:r>
        <w:rPr>
          <w:rFonts w:ascii="Times New Roman" w:eastAsia="楷体_GB2312"/>
          <w:bCs/>
          <w:sz w:val="24"/>
          <w:szCs w:val="21"/>
          <w:highlight w:val="none"/>
        </w:rPr>
        <w:t>未纳入社会团体财务统一核算、管理；</w:t>
      </w:r>
      <w:r>
        <w:rPr>
          <w:rFonts w:hint="eastAsia" w:ascii="Times New Roman" w:eastAsia="楷体_GB2312"/>
          <w:bCs/>
          <w:sz w:val="24"/>
          <w:szCs w:val="21"/>
          <w:highlight w:val="none"/>
        </w:rPr>
        <w:t>（是否存在违规开立银行账户；擅自发展会员收取会费、接受捐赠。）</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将自身经费收支与行政机关及企事业单位经费收支混管；</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将收入用于弥补行政经费不足或发放行政机关工作人员各项补贴；</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将收入用于章程规定的非营利事业之外的其他支出；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固定资产未计提折旧；</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长期应收账款</w:t>
      </w:r>
      <w:r>
        <w:rPr>
          <w:rFonts w:ascii="Times New Roman" w:hAnsi="Times New Roman" w:eastAsia="楷体_GB2312"/>
          <w:bCs/>
          <w:sz w:val="24"/>
          <w:szCs w:val="21"/>
          <w:highlight w:val="none"/>
        </w:rPr>
        <w:t>/</w:t>
      </w:r>
      <w:r>
        <w:rPr>
          <w:rFonts w:ascii="Times New Roman" w:eastAsia="楷体_GB2312"/>
          <w:bCs/>
          <w:sz w:val="24"/>
          <w:szCs w:val="21"/>
          <w:highlight w:val="none"/>
        </w:rPr>
        <w:t>年末往来款情况超期未披露；</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捐赠支出未按照捐赠协议规定用途进行使用，存在违反捐赠用途使用资金现象；</w:t>
      </w:r>
    </w:p>
    <w:p>
      <w:pPr>
        <w:spacing w:line="400" w:lineRule="exact"/>
        <w:ind w:firstLine="480" w:firstLineChars="200"/>
        <w:rPr>
          <w:rFonts w:hint="eastAsia" w:ascii="Times New Roman" w:eastAsia="楷体_GB2312"/>
          <w:sz w:val="24"/>
          <w:szCs w:val="21"/>
          <w:highlight w:val="none"/>
        </w:rPr>
      </w:pPr>
      <w:r>
        <w:rPr>
          <w:rFonts w:hint="eastAsia" w:ascii="Times New Roman" w:eastAsia="楷体_GB2312"/>
          <w:bCs/>
          <w:sz w:val="24"/>
          <w:szCs w:val="21"/>
          <w:highlight w:val="none"/>
        </w:rPr>
        <w:t>行业协会商会</w:t>
      </w:r>
      <w:r>
        <w:rPr>
          <w:rFonts w:ascii="Times New Roman" w:eastAsia="楷体_GB2312"/>
          <w:sz w:val="24"/>
          <w:szCs w:val="21"/>
          <w:highlight w:val="none"/>
        </w:rPr>
        <w:t>国有资产和暂按国有资产管理的资产</w:t>
      </w:r>
      <w:r>
        <w:rPr>
          <w:rFonts w:hint="eastAsia" w:ascii="Times New Roman" w:eastAsia="楷体_GB2312"/>
          <w:sz w:val="24"/>
          <w:szCs w:val="21"/>
          <w:highlight w:val="none"/>
        </w:rPr>
        <w:t>未实现保值增值</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bCs/>
          <w:sz w:val="24"/>
          <w:szCs w:val="21"/>
          <w:highlight w:val="none"/>
        </w:rPr>
        <w:t>其他违反《会计法》、《民间非营利组织会计制度》和社会团体管理有关规定的行为。</w:t>
      </w:r>
    </w:p>
    <w:p>
      <w:pPr>
        <w:adjustRightInd w:val="0"/>
        <w:snapToGrid w:val="0"/>
        <w:spacing w:line="400" w:lineRule="exact"/>
        <w:rPr>
          <w:rFonts w:ascii="Times New Roman" w:hAnsi="Times New Roman" w:eastAsia="楷体_GB2312"/>
          <w:b/>
          <w:bCs/>
          <w:sz w:val="24"/>
          <w:szCs w:val="21"/>
          <w:highlight w:val="none"/>
        </w:rPr>
      </w:pPr>
      <w:r>
        <w:rPr>
          <w:rFonts w:ascii="Times New Roman" w:hAnsi="Times New Roman" w:eastAsia="楷体_GB2312"/>
          <w:bCs/>
          <w:sz w:val="24"/>
          <w:szCs w:val="21"/>
          <w:highlight w:val="none"/>
        </w:rPr>
        <w:t xml:space="preserve">  </w:t>
      </w:r>
      <w:r>
        <w:rPr>
          <w:rFonts w:ascii="Times New Roman" w:eastAsia="楷体_GB2312"/>
          <w:sz w:val="24"/>
          <w:szCs w:val="21"/>
          <w:highlight w:val="none"/>
        </w:rPr>
        <w:t>我们认为，天津市</w:t>
      </w:r>
      <w:r>
        <w:rPr>
          <w:rFonts w:ascii="Times New Roman" w:hAnsi="Times New Roman" w:eastAsia="楷体_GB2312"/>
          <w:sz w:val="24"/>
          <w:szCs w:val="21"/>
          <w:highlight w:val="none"/>
        </w:rPr>
        <w:t>****</w:t>
      </w:r>
      <w:r>
        <w:rPr>
          <w:rFonts w:ascii="Times New Roman" w:eastAsia="楷体_GB2312"/>
          <w:sz w:val="24"/>
          <w:szCs w:val="21"/>
          <w:highlight w:val="none"/>
        </w:rPr>
        <w:t>财务报表已经按照《社会团体登记管理条例》和《民间非营利组织会计制度》的规定编制，在所有重大方面公允反映了天津市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日的财务状况以及</w:t>
      </w:r>
      <w:r>
        <w:rPr>
          <w:rFonts w:hint="eastAsia" w:ascii="Times New Roman" w:hAnsi="Times New Roman" w:eastAsia="楷体_GB2312"/>
          <w:sz w:val="24"/>
          <w:szCs w:val="21"/>
          <w:highlight w:val="none"/>
          <w:lang w:eastAsia="zh-CN"/>
        </w:rPr>
        <w:t>2022</w:t>
      </w:r>
      <w:r>
        <w:rPr>
          <w:rFonts w:ascii="Times New Roman" w:eastAsia="楷体_GB2312"/>
          <w:sz w:val="24"/>
          <w:szCs w:val="21"/>
          <w:highlight w:val="none"/>
        </w:rPr>
        <w:t>年度的业务活动成果和现金流量。</w:t>
      </w:r>
    </w:p>
    <w:p>
      <w:pPr>
        <w:spacing w:line="400" w:lineRule="exact"/>
        <w:ind w:left="105" w:leftChars="50" w:firstLine="366" w:firstLineChars="150"/>
        <w:rPr>
          <w:rFonts w:ascii="Times New Roman" w:hAnsi="Times New Roman" w:eastAsia="楷体_GB2312"/>
          <w:spacing w:val="2"/>
          <w:sz w:val="24"/>
          <w:szCs w:val="21"/>
          <w:highlight w:val="none"/>
        </w:rPr>
      </w:pPr>
      <w:r>
        <w:rPr>
          <w:rFonts w:ascii="Times New Roman" w:eastAsia="楷体_GB2312"/>
          <w:spacing w:val="2"/>
          <w:sz w:val="24"/>
          <w:szCs w:val="21"/>
          <w:highlight w:val="none"/>
        </w:rPr>
        <w:t>（会计师事务所应按审计准则的要求，发表无保留意见、保留意见及其他类型的审计意见）</w:t>
      </w:r>
    </w:p>
    <w:p>
      <w:pPr>
        <w:spacing w:line="400" w:lineRule="exact"/>
        <w:ind w:left="105" w:leftChars="50" w:firstLine="3782" w:firstLineChars="1550"/>
        <w:rPr>
          <w:rFonts w:ascii="Times New Roman" w:hAnsi="Times New Roman" w:eastAsia="楷体_GB2312"/>
          <w:spacing w:val="2"/>
          <w:sz w:val="24"/>
          <w:szCs w:val="21"/>
          <w:highlight w:val="none"/>
        </w:rPr>
      </w:pPr>
    </w:p>
    <w:p>
      <w:pPr>
        <w:rPr>
          <w:rFonts w:ascii="Times New Roman" w:hAnsi="Times New Roman" w:eastAsia="楷体_GB2312"/>
          <w:kern w:val="0"/>
          <w:sz w:val="24"/>
          <w:szCs w:val="21"/>
          <w:highlight w:val="none"/>
        </w:rPr>
      </w:pPr>
      <w:r>
        <w:rPr>
          <w:rFonts w:ascii="Times New Roman" w:hAnsi="Times New Roman" w:eastAsia="楷体_GB2312"/>
          <w:spacing w:val="8"/>
          <w:sz w:val="24"/>
          <w:szCs w:val="21"/>
          <w:highlight w:val="none"/>
        </w:rPr>
        <w:t xml:space="preserve">     </w:t>
      </w:r>
      <w:r>
        <w:rPr>
          <w:rFonts w:ascii="Times New Roman" w:eastAsia="楷体_GB2312"/>
          <w:spacing w:val="8"/>
          <w:sz w:val="24"/>
          <w:szCs w:val="21"/>
          <w:highlight w:val="none"/>
        </w:rPr>
        <w:t>会计师事务所</w:t>
      </w:r>
      <w:r>
        <w:rPr>
          <w:rFonts w:ascii="Times New Roman" w:hAnsi="Times New Roman" w:eastAsia="楷体_GB2312"/>
          <w:spacing w:val="8"/>
          <w:sz w:val="24"/>
          <w:szCs w:val="21"/>
          <w:highlight w:val="none"/>
        </w:rPr>
        <w:t xml:space="preserve">                           </w:t>
      </w:r>
      <w:r>
        <w:rPr>
          <w:rFonts w:hint="eastAsia" w:ascii="Times New Roman" w:hAnsi="Times New Roman" w:eastAsia="楷体_GB2312"/>
          <w:spacing w:val="8"/>
          <w:kern w:val="0"/>
          <w:sz w:val="24"/>
          <w:szCs w:val="21"/>
          <w:highlight w:val="none"/>
          <w:lang w:eastAsia="zh-CN"/>
        </w:rPr>
        <w:t>2023</w:t>
      </w:r>
      <w:r>
        <w:rPr>
          <w:rFonts w:ascii="Times New Roman" w:eastAsia="楷体_GB2312"/>
          <w:kern w:val="0"/>
          <w:sz w:val="24"/>
          <w:szCs w:val="21"/>
          <w:highlight w:val="none"/>
        </w:rPr>
        <w:t>年</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月</w:t>
      </w:r>
      <w:r>
        <w:rPr>
          <w:rFonts w:ascii="Times New Roman" w:hAnsi="Times New Roman" w:eastAsia="楷体_GB2312"/>
          <w:kern w:val="0"/>
          <w:sz w:val="24"/>
          <w:szCs w:val="21"/>
          <w:highlight w:val="none"/>
        </w:rPr>
        <w:t xml:space="preserve">  </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日</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tbl>
      <w:tblPr>
        <w:tblStyle w:val="3"/>
        <w:tblW w:w="10399" w:type="dxa"/>
        <w:tblInd w:w="-318" w:type="dxa"/>
        <w:tblLayout w:type="fixed"/>
        <w:tblCellMar>
          <w:top w:w="0" w:type="dxa"/>
          <w:left w:w="108" w:type="dxa"/>
          <w:bottom w:w="0" w:type="dxa"/>
          <w:right w:w="108" w:type="dxa"/>
        </w:tblCellMar>
      </w:tblPr>
      <w:tblGrid>
        <w:gridCol w:w="2699"/>
        <w:gridCol w:w="291"/>
        <w:gridCol w:w="218"/>
        <w:gridCol w:w="429"/>
        <w:gridCol w:w="483"/>
        <w:gridCol w:w="566"/>
        <w:gridCol w:w="283"/>
        <w:gridCol w:w="543"/>
        <w:gridCol w:w="627"/>
        <w:gridCol w:w="1049"/>
        <w:gridCol w:w="47"/>
        <w:gridCol w:w="568"/>
        <w:gridCol w:w="771"/>
        <w:gridCol w:w="80"/>
        <w:gridCol w:w="1361"/>
        <w:gridCol w:w="384"/>
      </w:tblGrid>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noWrap/>
            <w:vAlign w:val="center"/>
          </w:tcPr>
          <w:p>
            <w:pPr>
              <w:tabs>
                <w:tab w:val="left" w:pos="8540"/>
                <w:tab w:val="left" w:pos="9249"/>
              </w:tabs>
              <w:ind w:right="-249"/>
              <w:jc w:val="center"/>
              <w:rPr>
                <w:rFonts w:ascii="Times New Roman" w:hAnsi="Times New Roman" w:eastAsia="方正小标宋简体"/>
                <w:highlight w:val="none"/>
              </w:rPr>
            </w:pPr>
            <w:r>
              <w:rPr>
                <w:rFonts w:ascii="Times New Roman" w:eastAsia="方正小标宋简体"/>
                <w:sz w:val="30"/>
                <w:szCs w:val="30"/>
                <w:highlight w:val="none"/>
              </w:rPr>
              <w:t>社会团体基本情况统计表</w:t>
            </w:r>
          </w:p>
          <w:p>
            <w:pPr>
              <w:jc w:val="center"/>
              <w:rPr>
                <w:rFonts w:ascii="Times New Roman" w:hAnsi="Times New Roman" w:eastAsia="楷体"/>
                <w:highlight w:val="none"/>
              </w:rPr>
            </w:pPr>
            <w:r>
              <w:rPr>
                <w:rFonts w:hint="eastAsia" w:ascii="Times New Roman" w:hAnsi="Times New Roman" w:eastAsia="楷体"/>
                <w:highlight w:val="none"/>
                <w:lang w:eastAsia="zh-CN"/>
              </w:rPr>
              <w:t>2022</w:t>
            </w:r>
            <w:r>
              <w:rPr>
                <w:rFonts w:ascii="Times New Roman" w:eastAsia="楷体"/>
                <w:highlight w:val="none"/>
              </w:rPr>
              <w:t>年</w:t>
            </w:r>
            <w:r>
              <w:rPr>
                <w:rFonts w:ascii="Times New Roman" w:hAnsi="Times New Roman" w:eastAsia="楷体"/>
                <w:highlight w:val="none"/>
              </w:rPr>
              <w:t>12</w:t>
            </w:r>
            <w:r>
              <w:rPr>
                <w:rFonts w:ascii="Times New Roman" w:eastAsia="楷体"/>
                <w:highlight w:val="none"/>
              </w:rPr>
              <w:t>月</w:t>
            </w:r>
            <w:r>
              <w:rPr>
                <w:rFonts w:ascii="Times New Roman" w:hAnsi="Times New Roman" w:eastAsia="楷体"/>
                <w:highlight w:val="none"/>
              </w:rPr>
              <w:t>31</w:t>
            </w:r>
            <w:r>
              <w:rPr>
                <w:rFonts w:ascii="Times New Roman" w:eastAsia="楷体"/>
                <w:highlight w:val="none"/>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1646"/>
              <w:gridCol w:w="1649"/>
              <w:gridCol w:w="796"/>
              <w:gridCol w:w="1035"/>
              <w:gridCol w:w="6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社会团体名称</w:t>
                  </w:r>
                </w:p>
              </w:tc>
              <w:tc>
                <w:tcPr>
                  <w:tcW w:w="7154" w:type="dxa"/>
                  <w:gridSpan w:val="6"/>
                  <w:noWrap w:val="0"/>
                  <w:vAlign w:val="center"/>
                </w:tcPr>
                <w:p>
                  <w:pPr>
                    <w:jc w:val="center"/>
                    <w:rPr>
                      <w:rFonts w:ascii="Times New Roman" w:hAnsi="Times New Roman" w:eastAsia="楷体"/>
                      <w:highlight w:val="none"/>
                    </w:rPr>
                  </w:pPr>
                  <w:r>
                    <w:rPr>
                      <w:rFonts w:ascii="Times New Roman" w:eastAsia="楷体"/>
                      <w:highlight w:val="none"/>
                    </w:rPr>
                    <w:t>天津市</w:t>
                  </w:r>
                  <w:r>
                    <w:rPr>
                      <w:rFonts w:ascii="Times New Roman" w:hAnsi="Times New Roman" w:eastAsia="楷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统一信用代码</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登记时间</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法定代表人</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住所</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邮编</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主要经费来源</w:t>
                  </w:r>
                </w:p>
                <w:p>
                  <w:pPr>
                    <w:jc w:val="center"/>
                    <w:rPr>
                      <w:rFonts w:ascii="Times New Roman" w:hAnsi="Times New Roman" w:eastAsia="楷体"/>
                      <w:highlight w:val="none"/>
                    </w:rPr>
                  </w:pPr>
                  <w:r>
                    <w:rPr>
                      <w:rFonts w:ascii="Times New Roman" w:eastAsia="楷体"/>
                      <w:highlight w:val="none"/>
                    </w:rPr>
                    <w:t>（包含：会费、捐助、政府拨款、服务性收费、实体利润等）</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电话</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个人会员数</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单位会员数</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开户银行</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3207" w:type="dxa"/>
                  <w:noWrap w:val="0"/>
                  <w:vAlign w:val="center"/>
                </w:tcPr>
                <w:p>
                  <w:pPr>
                    <w:jc w:val="center"/>
                    <w:rPr>
                      <w:rFonts w:ascii="Times New Roman" w:eastAsia="楷体"/>
                      <w:highlight w:val="none"/>
                    </w:rPr>
                  </w:pPr>
                  <w:r>
                    <w:rPr>
                      <w:rFonts w:ascii="Times New Roman" w:eastAsia="楷体"/>
                      <w:highlight w:val="none"/>
                    </w:rPr>
                    <w:t>银行账号</w:t>
                  </w:r>
                </w:p>
                <w:p>
                  <w:pPr>
                    <w:jc w:val="center"/>
                    <w:rPr>
                      <w:rFonts w:ascii="Times New Roman" w:hAnsi="Times New Roman" w:eastAsia="楷体"/>
                      <w:highlight w:val="none"/>
                    </w:rPr>
                  </w:pPr>
                  <w:r>
                    <w:rPr>
                      <w:rFonts w:hint="eastAsia" w:ascii="Times New Roman" w:eastAsia="楷体"/>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财务机构名称</w:t>
                  </w:r>
                </w:p>
              </w:tc>
              <w:tc>
                <w:tcPr>
                  <w:tcW w:w="7154" w:type="dxa"/>
                  <w:gridSpan w:val="6"/>
                  <w:noWrap w:val="0"/>
                  <w:vAlign w:val="center"/>
                </w:tcPr>
                <w:p>
                  <w:pPr>
                    <w:ind w:right="630"/>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3207" w:type="dxa"/>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财务机构负责人</w:t>
                  </w:r>
                </w:p>
              </w:tc>
              <w:tc>
                <w:tcPr>
                  <w:tcW w:w="3295"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专业技术职称</w:t>
                  </w:r>
                </w:p>
              </w:tc>
              <w:tc>
                <w:tcPr>
                  <w:tcW w:w="2028"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会计姓名</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专职</w:t>
                  </w:r>
                  <w:r>
                    <w:rPr>
                      <w:rFonts w:ascii="Times New Roman" w:hAnsi="Times New Roman" w:eastAsia="楷体"/>
                      <w:highlight w:val="none"/>
                    </w:rPr>
                    <w:t>/</w:t>
                  </w:r>
                  <w:r>
                    <w:rPr>
                      <w:rFonts w:ascii="Times New Roman" w:eastAsia="楷体"/>
                      <w:highlight w:val="none"/>
                    </w:rPr>
                    <w:t>兼职</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代理记账中介机构名称</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税务登记号码</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restart"/>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会费标准</w:t>
                  </w: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表决时间</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年</w:t>
                  </w:r>
                  <w:r>
                    <w:rPr>
                      <w:rFonts w:ascii="Times New Roman" w:hAnsi="Times New Roman" w:eastAsia="楷体"/>
                      <w:highlight w:val="none"/>
                    </w:rPr>
                    <w:t xml:space="preserve">  </w:t>
                  </w:r>
                  <w:r>
                    <w:rPr>
                      <w:rFonts w:ascii="Times New Roman" w:eastAsia="楷体"/>
                      <w:highlight w:val="none"/>
                    </w:rPr>
                    <w:t>月</w:t>
                  </w:r>
                  <w:r>
                    <w:rPr>
                      <w:rFonts w:ascii="Times New Roman" w:hAnsi="Times New Roman" w:eastAsia="楷体"/>
                      <w:highlight w:val="none"/>
                    </w:rPr>
                    <w:t xml:space="preserve">  </w:t>
                  </w:r>
                  <w:r>
                    <w:rPr>
                      <w:rFonts w:ascii="Times New Roman" w:eastAsia="楷体"/>
                      <w:highlight w:val="none"/>
                    </w:rPr>
                    <w:t>日第</w:t>
                  </w:r>
                  <w:r>
                    <w:rPr>
                      <w:rFonts w:ascii="Times New Roman" w:hAnsi="Times New Roman" w:eastAsia="楷体"/>
                      <w:highlight w:val="none"/>
                    </w:rPr>
                    <w:t xml:space="preserve">  </w:t>
                  </w:r>
                  <w:r>
                    <w:rPr>
                      <w:rFonts w:ascii="Times New Roman" w:eastAsia="楷体"/>
                      <w:highlight w:val="none"/>
                    </w:rPr>
                    <w:t>届第</w:t>
                  </w:r>
                  <w:r>
                    <w:rPr>
                      <w:rFonts w:ascii="Times New Roman" w:hAnsi="Times New Roman" w:eastAsia="楷体"/>
                      <w:highlight w:val="none"/>
                    </w:rPr>
                    <w:t xml:space="preserve">  </w:t>
                  </w:r>
                  <w:r>
                    <w:rPr>
                      <w:rFonts w:ascii="Times New Roman" w:eastAsia="楷体"/>
                      <w:highlight w:val="none"/>
                    </w:rPr>
                    <w:t>次会员（代表）大会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个人会员</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单位会员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5508" w:type="dxa"/>
                  <w:gridSpan w:val="5"/>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3207" w:type="dxa"/>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设有银行账号的</w:t>
                  </w:r>
                </w:p>
                <w:p>
                  <w:pPr>
                    <w:adjustRightInd w:val="0"/>
                    <w:snapToGrid w:val="0"/>
                    <w:spacing w:line="480" w:lineRule="exact"/>
                    <w:ind w:left="142"/>
                    <w:jc w:val="center"/>
                    <w:rPr>
                      <w:rFonts w:ascii="Times New Roman" w:eastAsia="楷体"/>
                      <w:highlight w:val="none"/>
                    </w:rPr>
                  </w:pPr>
                  <w:r>
                    <w:rPr>
                      <w:rFonts w:ascii="Times New Roman" w:eastAsia="楷体"/>
                      <w:highlight w:val="none"/>
                    </w:rPr>
                    <w:t>分支机构、代表机构</w:t>
                  </w:r>
                </w:p>
                <w:p>
                  <w:pPr>
                    <w:adjustRightInd w:val="0"/>
                    <w:snapToGrid w:val="0"/>
                    <w:spacing w:line="480" w:lineRule="exact"/>
                    <w:ind w:left="63"/>
                    <w:jc w:val="center"/>
                    <w:rPr>
                      <w:rFonts w:ascii="Times New Roman" w:hAnsi="Times New Roman" w:eastAsia="楷体"/>
                      <w:highlight w:val="none"/>
                    </w:rPr>
                  </w:pPr>
                  <w:r>
                    <w:rPr>
                      <w:rFonts w:hint="eastAsia" w:ascii="Times New Roman" w:eastAsia="楷体"/>
                      <w:sz w:val="20"/>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实体机构名称</w:t>
                  </w:r>
                </w:p>
              </w:tc>
              <w:tc>
                <w:tcPr>
                  <w:tcW w:w="4091" w:type="dxa"/>
                  <w:gridSpan w:val="3"/>
                  <w:noWrap w:val="0"/>
                  <w:vAlign w:val="center"/>
                </w:tcPr>
                <w:p>
                  <w:pPr>
                    <w:jc w:val="center"/>
                    <w:rPr>
                      <w:rFonts w:ascii="Times New Roman" w:hAnsi="Times New Roman" w:eastAsia="楷体"/>
                      <w:highlight w:val="none"/>
                    </w:rPr>
                  </w:pPr>
                </w:p>
              </w:tc>
              <w:tc>
                <w:tcPr>
                  <w:tcW w:w="1104" w:type="dxa"/>
                  <w:gridSpan w:val="2"/>
                  <w:noWrap w:val="0"/>
                  <w:vAlign w:val="center"/>
                </w:tcPr>
                <w:p>
                  <w:pPr>
                    <w:jc w:val="center"/>
                    <w:rPr>
                      <w:rFonts w:ascii="Times New Roman" w:hAnsi="Times New Roman" w:eastAsia="楷体"/>
                      <w:highlight w:val="none"/>
                    </w:rPr>
                  </w:pPr>
                  <w:r>
                    <w:rPr>
                      <w:rFonts w:ascii="Times New Roman" w:eastAsia="楷体"/>
                      <w:highlight w:val="none"/>
                    </w:rPr>
                    <w:t>注册资金</w:t>
                  </w:r>
                </w:p>
              </w:tc>
              <w:tc>
                <w:tcPr>
                  <w:tcW w:w="1959" w:type="dxa"/>
                  <w:noWrap w:val="0"/>
                  <w:vAlign w:val="center"/>
                </w:tcPr>
                <w:p>
                  <w:pPr>
                    <w:jc w:val="center"/>
                    <w:rPr>
                      <w:rFonts w:ascii="Times New Roman" w:hAnsi="Times New Roman" w:eastAsia="楷体"/>
                      <w:highlight w:val="none"/>
                    </w:rPr>
                  </w:pPr>
                </w:p>
              </w:tc>
            </w:tr>
          </w:tbl>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rFonts w:ascii="Times New Roman" w:hAnsi="Times New Roman" w:eastAsia="方正小标宋简体"/>
                <w:bCs/>
                <w:kern w:val="0"/>
                <w:sz w:val="30"/>
                <w:szCs w:val="30"/>
                <w:highlight w:val="none"/>
              </w:rPr>
            </w:pPr>
            <w:r>
              <w:rPr>
                <w:highlight w:val="none"/>
              </w:rPr>
              <w:fldChar w:fldCharType="begin"/>
            </w:r>
            <w:r>
              <w:rPr>
                <w:highlight w:val="none"/>
              </w:rPr>
              <w:instrText xml:space="preserve"> HYPERLINK "file:///E:\\2016年检\\年检指南\\2015年检指南附件\\附件一：社团审计报告模板\\社团资产负债表.xls" \l "RANGE!B79" </w:instrText>
            </w:r>
            <w:r>
              <w:rPr>
                <w:highlight w:val="none"/>
              </w:rPr>
              <w:fldChar w:fldCharType="separate"/>
            </w:r>
            <w:r>
              <w:rPr>
                <w:rFonts w:ascii="Times New Roman" w:eastAsia="方正小标宋简体"/>
                <w:bCs/>
                <w:kern w:val="0"/>
                <w:sz w:val="30"/>
                <w:szCs w:val="30"/>
                <w:highlight w:val="none"/>
              </w:rPr>
              <w:t>资</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产</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负</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债</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表</w:t>
            </w:r>
            <w:r>
              <w:rPr>
                <w:rFonts w:asci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shd w:val="clear" w:color="000000" w:fill="FFFFFF"/>
            <w:noWrap/>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highlight w:val="none"/>
                <w:lang w:eastAsia="zh-CN"/>
              </w:rPr>
              <w:t>2022</w:t>
            </w:r>
            <w:r>
              <w:rPr>
                <w:rFonts w:ascii="Times New Roman" w:eastAsia="楷体"/>
                <w:kern w:val="0"/>
                <w:highlight w:val="none"/>
              </w:rPr>
              <w:t>年</w:t>
            </w:r>
            <w:r>
              <w:rPr>
                <w:rFonts w:ascii="Times New Roman" w:hAnsi="Times New Roman" w:eastAsia="楷体"/>
                <w:kern w:val="0"/>
                <w:highlight w:val="none"/>
              </w:rPr>
              <w:t>12</w:t>
            </w:r>
            <w:r>
              <w:rPr>
                <w:rFonts w:ascii="Times New Roman" w:eastAsia="楷体"/>
                <w:kern w:val="0"/>
                <w:highlight w:val="none"/>
              </w:rPr>
              <w:t>月</w:t>
            </w:r>
            <w:r>
              <w:rPr>
                <w:rFonts w:ascii="Times New Roman" w:hAnsi="Times New Roman" w:eastAsia="楷体"/>
                <w:kern w:val="0"/>
                <w:highlight w:val="none"/>
              </w:rPr>
              <w:t>31</w:t>
            </w:r>
            <w:r>
              <w:rPr>
                <w:rFonts w:ascii="Times New Roman" w:eastAsia="楷体"/>
                <w:kern w:val="0"/>
                <w:highlight w:val="none"/>
              </w:rPr>
              <w:t>日</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596" w:type="dxa"/>
            <w:gridSpan w:val="4"/>
            <w:tcBorders>
              <w:top w:val="nil"/>
              <w:left w:val="nil"/>
              <w:bottom w:val="nil"/>
              <w:right w:val="nil"/>
            </w:tcBorders>
            <w:shd w:val="clear" w:color="000000" w:fill="FFFFFF"/>
            <w:noWrap/>
            <w:vAlign w:val="center"/>
          </w:tcPr>
          <w:p>
            <w:pPr>
              <w:widowControl/>
              <w:jc w:val="right"/>
              <w:rPr>
                <w:rFonts w:ascii="Times New Roman" w:eastAsia="楷体"/>
                <w:kern w:val="0"/>
                <w:sz w:val="18"/>
                <w:szCs w:val="18"/>
                <w:highlight w:val="none"/>
              </w:rPr>
            </w:pPr>
            <w:r>
              <w:rPr>
                <w:rFonts w:ascii="Times New Roman" w:eastAsia="楷体"/>
                <w:kern w:val="0"/>
                <w:sz w:val="18"/>
                <w:szCs w:val="18"/>
                <w:highlight w:val="none"/>
              </w:rPr>
              <w:t>会民非01表</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Cs w:val="28"/>
                <w:highlight w:val="none"/>
              </w:rPr>
            </w:pPr>
            <w:r>
              <w:rPr>
                <w:rFonts w:ascii="Times New Roman" w:eastAsia="楷体"/>
                <w:b/>
                <w:bCs/>
                <w:kern w:val="0"/>
                <w:szCs w:val="28"/>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596"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eastAsia="楷体"/>
                <w:kern w:val="0"/>
                <w:sz w:val="18"/>
                <w:szCs w:val="18"/>
                <w:highlight w:val="none"/>
              </w:rPr>
              <w:t>货币单位：人民币元</w:t>
            </w:r>
          </w:p>
        </w:tc>
      </w:tr>
      <w:tr>
        <w:tblPrEx>
          <w:tblCellMar>
            <w:top w:w="0" w:type="dxa"/>
            <w:left w:w="108" w:type="dxa"/>
            <w:bottom w:w="0" w:type="dxa"/>
            <w:right w:w="108" w:type="dxa"/>
          </w:tblCellMar>
        </w:tblPrEx>
        <w:trPr>
          <w:trHeight w:val="20" w:hRule="atLeast"/>
        </w:trPr>
        <w:tc>
          <w:tcPr>
            <w:tcW w:w="2699"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资</w:t>
            </w:r>
            <w:r>
              <w:rPr>
                <w:rFonts w:ascii="Times New Roman" w:hAnsi="Times New Roman" w:eastAsia="楷体"/>
                <w:b/>
                <w:bCs/>
                <w:kern w:val="0"/>
                <w:sz w:val="18"/>
                <w:highlight w:val="none"/>
              </w:rPr>
              <w:t xml:space="preserve">   </w:t>
            </w:r>
            <w:r>
              <w:rPr>
                <w:rFonts w:ascii="Times New Roman" w:eastAsia="楷体"/>
                <w:b/>
                <w:bCs/>
                <w:kern w:val="0"/>
                <w:sz w:val="18"/>
                <w:highlight w:val="none"/>
              </w:rPr>
              <w:t>产</w:t>
            </w:r>
          </w:p>
        </w:tc>
        <w:tc>
          <w:tcPr>
            <w:tcW w:w="50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912"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84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c>
          <w:tcPr>
            <w:tcW w:w="2266" w:type="dxa"/>
            <w:gridSpan w:val="4"/>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负债和净资产</w:t>
            </w:r>
          </w:p>
        </w:tc>
        <w:tc>
          <w:tcPr>
            <w:tcW w:w="568"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851"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1745" w:type="dxa"/>
            <w:gridSpan w:val="2"/>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w:t>
            </w:r>
            <w:r>
              <w:rPr>
                <w:rFonts w:ascii="Times New Roman" w:eastAsia="楷体"/>
                <w:kern w:val="0"/>
                <w:sz w:val="18"/>
                <w:highlight w:val="none"/>
              </w:rPr>
              <w:t>货币资金</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应付款项</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应收款项</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应付工资</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63</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预付账款</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应交税金</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存  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预收账款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66</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待摊费用</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预提费用</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预计负债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20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80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长期股权投资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长期投资合计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30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长期应付款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固定资产：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90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固定资产原价</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减：累计折旧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固定资产净值</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在建工程</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文物文化资产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100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固定资产清理</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固定资产合计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40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非限定性净资产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51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净资产合计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110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资产总计</w:t>
            </w:r>
          </w:p>
        </w:tc>
        <w:tc>
          <w:tcPr>
            <w:tcW w:w="509" w:type="dxa"/>
            <w:gridSpan w:val="2"/>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60</w:t>
            </w:r>
          </w:p>
        </w:tc>
        <w:tc>
          <w:tcPr>
            <w:tcW w:w="912"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负债和净资产总计</w:t>
            </w:r>
          </w:p>
        </w:tc>
        <w:tc>
          <w:tcPr>
            <w:tcW w:w="568" w:type="dxa"/>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120</w:t>
            </w:r>
          </w:p>
        </w:tc>
        <w:tc>
          <w:tcPr>
            <w:tcW w:w="851"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1745" w:type="dxa"/>
            <w:gridSpan w:val="2"/>
            <w:tcBorders>
              <w:top w:val="nil"/>
              <w:left w:val="nil"/>
              <w:bottom w:val="nil"/>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09" w:type="dxa"/>
            <w:gridSpan w:val="2"/>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912"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849"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266" w:type="dxa"/>
            <w:gridSpan w:val="4"/>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68"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851"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1745" w:type="dxa"/>
            <w:gridSpan w:val="2"/>
            <w:tcBorders>
              <w:top w:val="nil"/>
              <w:left w:val="nil"/>
              <w:bottom w:val="single" w:color="auto" w:sz="12" w:space="0"/>
              <w:right w:val="single" w:color="auto" w:sz="8" w:space="0"/>
            </w:tcBorders>
            <w:shd w:val="clear" w:color="000000" w:fill="FFFFFF"/>
            <w:noWrap/>
            <w:vAlign w:val="center"/>
          </w:tcPr>
          <w:p>
            <w:pPr>
              <w:widowControl/>
              <w:jc w:val="right"/>
              <w:rPr>
                <w:rFonts w:ascii="Times New Roman" w:hAnsi="Times New Roman" w:eastAsia="楷体"/>
                <w:kern w:val="0"/>
                <w:highlight w:val="none"/>
              </w:rPr>
            </w:pPr>
          </w:p>
        </w:tc>
      </w:tr>
      <w:tr>
        <w:tblPrEx>
          <w:tblCellMar>
            <w:top w:w="0" w:type="dxa"/>
            <w:left w:w="108" w:type="dxa"/>
            <w:bottom w:w="0" w:type="dxa"/>
            <w:right w:w="108" w:type="dxa"/>
          </w:tblCellMar>
        </w:tblPrEx>
        <w:trPr>
          <w:gridAfter w:val="1"/>
          <w:wAfter w:w="384" w:type="dxa"/>
          <w:trHeight w:val="510" w:hRule="atLeast"/>
        </w:trPr>
        <w:tc>
          <w:tcPr>
            <w:tcW w:w="10015" w:type="dxa"/>
            <w:gridSpan w:val="15"/>
            <w:tcBorders>
              <w:top w:val="nil"/>
              <w:left w:val="nil"/>
              <w:bottom w:val="nil"/>
              <w:right w:val="nil"/>
            </w:tcBorders>
            <w:noWrap/>
            <w:vAlign w:val="center"/>
          </w:tcPr>
          <w:p>
            <w:pPr>
              <w:widowControl/>
              <w:jc w:val="center"/>
              <w:rPr>
                <w:rFonts w:ascii="Times New Roman" w:hAnsi="Times New Roman" w:eastAsia="方正小标宋简体"/>
                <w:bCs/>
                <w:kern w:val="0"/>
                <w:sz w:val="30"/>
                <w:szCs w:val="30"/>
                <w:highlight w:val="none"/>
              </w:rPr>
            </w:pPr>
          </w:p>
          <w:p>
            <w:pPr>
              <w:widowControl/>
              <w:jc w:val="both"/>
              <w:rPr>
                <w:rFonts w:ascii="Times New Roman" w:hAnsi="Times New Roman" w:eastAsia="方正小标宋简体"/>
                <w:bCs/>
                <w:kern w:val="0"/>
                <w:sz w:val="30"/>
                <w:szCs w:val="30"/>
                <w:highlight w:val="none"/>
              </w:rPr>
            </w:pPr>
            <w:bookmarkStart w:id="0" w:name="_GoBack"/>
            <w:bookmarkEnd w:id="0"/>
          </w:p>
          <w:p>
            <w:pPr>
              <w:widowControl/>
              <w:jc w:val="center"/>
              <w:rPr>
                <w:rFonts w:ascii="Times New Roman" w:hAnsi="Times New Roman" w:eastAsia="方正小标宋简体"/>
                <w:bCs/>
                <w:kern w:val="0"/>
                <w:sz w:val="30"/>
                <w:szCs w:val="30"/>
                <w:highlight w:val="none"/>
              </w:rPr>
            </w:pPr>
            <w:r>
              <w:rPr>
                <w:rFonts w:ascii="Times New Roman" w:hAnsi="Times New Roman" w:eastAsia="方正小标宋简体"/>
                <w:bCs/>
                <w:kern w:val="0"/>
                <w:sz w:val="30"/>
                <w:szCs w:val="30"/>
                <w:highlight w:val="none"/>
              </w:rPr>
              <w:fldChar w:fldCharType="begin"/>
            </w:r>
            <w:r>
              <w:rPr>
                <w:rFonts w:ascii="Times New Roman" w:hAnsi="Times New Roman" w:eastAsia="方正小标宋简体"/>
                <w:bCs/>
                <w:kern w:val="0"/>
                <w:sz w:val="30"/>
                <w:szCs w:val="30"/>
                <w:highlight w:val="none"/>
              </w:rPr>
              <w:instrText xml:space="preserve"> HYPERLINK "file:///E:\\2016年检\\年检指南\\2015年检指南附件\\附件一：社团审计报告模板\\社团业务活动表.xls" \l "RANGE!B80" </w:instrText>
            </w:r>
            <w:r>
              <w:rPr>
                <w:rFonts w:ascii="Times New Roman" w:hAnsi="Times New Roman" w:eastAsia="方正小标宋简体"/>
                <w:bCs/>
                <w:kern w:val="0"/>
                <w:sz w:val="30"/>
                <w:szCs w:val="30"/>
                <w:highlight w:val="none"/>
              </w:rPr>
              <w:fldChar w:fldCharType="separate"/>
            </w:r>
            <w:r>
              <w:rPr>
                <w:rFonts w:ascii="Times New Roman" w:hAnsi="Times New Roman" w:eastAsia="方正小标宋简体"/>
                <w:bCs/>
                <w:kern w:val="0"/>
                <w:sz w:val="30"/>
                <w:szCs w:val="30"/>
                <w:highlight w:val="none"/>
              </w:rPr>
              <w:t>业 务 活 动 表</w:t>
            </w:r>
            <w:r>
              <w:rPr>
                <w:rFonts w:ascii="Times New Roman" w:hAns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gridAfter w:val="1"/>
          <w:wAfter w:w="384" w:type="dxa"/>
          <w:trHeight w:val="285"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4"/>
                <w:highlight w:val="none"/>
              </w:rPr>
            </w:pPr>
            <w:r>
              <w:rPr>
                <w:rFonts w:ascii="Times New Roman" w:hAnsi="Times New Roman" w:eastAsia="楷体"/>
                <w:kern w:val="0"/>
                <w:sz w:val="24"/>
                <w:highlight w:val="none"/>
              </w:rPr>
              <w:t>　</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0"/>
                <w:szCs w:val="20"/>
                <w:highlight w:val="none"/>
              </w:rPr>
            </w:pPr>
            <w:r>
              <w:rPr>
                <w:rFonts w:hint="eastAsia" w:ascii="Times New Roman" w:hAnsi="Times New Roman" w:eastAsia="楷体"/>
                <w:kern w:val="0"/>
                <w:sz w:val="21"/>
                <w:szCs w:val="21"/>
                <w:highlight w:val="none"/>
                <w:lang w:eastAsia="zh-CN"/>
              </w:rPr>
              <w:t>2022</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会民非02表</w:t>
            </w:r>
          </w:p>
        </w:tc>
      </w:tr>
      <w:tr>
        <w:tblPrEx>
          <w:tblCellMar>
            <w:top w:w="0" w:type="dxa"/>
            <w:left w:w="108" w:type="dxa"/>
            <w:bottom w:w="0" w:type="dxa"/>
            <w:right w:w="108" w:type="dxa"/>
          </w:tblCellMar>
        </w:tblPrEx>
        <w:trPr>
          <w:gridAfter w:val="1"/>
          <w:wAfter w:w="384" w:type="dxa"/>
          <w:trHeight w:val="390" w:hRule="atLeast"/>
        </w:trPr>
        <w:tc>
          <w:tcPr>
            <w:tcW w:w="299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18"/>
                <w:highlight w:val="none"/>
              </w:rPr>
            </w:pPr>
            <w:r>
              <w:rPr>
                <w:rFonts w:ascii="Times New Roman" w:hAnsi="Times New Roman" w:eastAsia="楷体"/>
                <w:b/>
                <w:bCs/>
                <w:kern w:val="0"/>
                <w:sz w:val="18"/>
                <w:szCs w:val="18"/>
                <w:highlight w:val="none"/>
              </w:rPr>
              <w:t>　</w:t>
            </w:r>
          </w:p>
        </w:tc>
        <w:tc>
          <w:tcPr>
            <w:tcW w:w="647"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826"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62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2827" w:type="dxa"/>
            <w:gridSpan w:val="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货币单位：人民币元</w:t>
            </w:r>
          </w:p>
        </w:tc>
      </w:tr>
      <w:tr>
        <w:tblPrEx>
          <w:tblCellMar>
            <w:top w:w="0" w:type="dxa"/>
            <w:left w:w="108" w:type="dxa"/>
            <w:bottom w:w="0" w:type="dxa"/>
            <w:right w:w="108" w:type="dxa"/>
          </w:tblCellMar>
        </w:tblPrEx>
        <w:trPr>
          <w:gridAfter w:val="1"/>
          <w:wAfter w:w="384" w:type="dxa"/>
          <w:trHeight w:val="270" w:hRule="atLeast"/>
        </w:trPr>
        <w:tc>
          <w:tcPr>
            <w:tcW w:w="2990"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项  目</w:t>
            </w:r>
          </w:p>
        </w:tc>
        <w:tc>
          <w:tcPr>
            <w:tcW w:w="647"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行次</w:t>
            </w:r>
          </w:p>
        </w:tc>
        <w:tc>
          <w:tcPr>
            <w:tcW w:w="2502" w:type="dxa"/>
            <w:gridSpan w:val="5"/>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上年数</w:t>
            </w:r>
          </w:p>
        </w:tc>
        <w:tc>
          <w:tcPr>
            <w:tcW w:w="387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本年累计数</w:t>
            </w:r>
          </w:p>
        </w:tc>
      </w:tr>
      <w:tr>
        <w:tblPrEx>
          <w:tblCellMar>
            <w:top w:w="0" w:type="dxa"/>
            <w:left w:w="108" w:type="dxa"/>
            <w:bottom w:w="0" w:type="dxa"/>
            <w:right w:w="108" w:type="dxa"/>
          </w:tblCellMar>
        </w:tblPrEx>
        <w:trPr>
          <w:gridAfter w:val="1"/>
          <w:wAfter w:w="384" w:type="dxa"/>
          <w:trHeight w:val="270" w:hRule="atLeast"/>
        </w:trPr>
        <w:tc>
          <w:tcPr>
            <w:tcW w:w="299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647"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826"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6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c>
          <w:tcPr>
            <w:tcW w:w="10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1386"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1441" w:type="dxa"/>
            <w:gridSpan w:val="2"/>
            <w:tcBorders>
              <w:top w:val="nil"/>
              <w:left w:val="nil"/>
              <w:bottom w:val="single" w:color="auto" w:sz="4" w:space="0"/>
              <w:right w:val="single" w:color="auto" w:sz="8"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一、收  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会费收入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商品销售收入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政府补助收入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投资收益</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其他收入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收入合计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11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二、费  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（一）业务活动成本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其中：捐赠项目成本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会员服务成本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销售商品成本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业务活动税金及附加</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（二）管理费用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（三）筹资费用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（四）其他费用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费用合计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35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三、限定性净资产转为非限定性净资产</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　</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b/>
                <w:bCs/>
                <w:kern w:val="0"/>
                <w:sz w:val="20"/>
                <w:highlight w:val="none"/>
              </w:rPr>
            </w:pPr>
            <w:r>
              <w:rPr>
                <w:rFonts w:ascii="Times New Roman" w:hAnsi="Times New Roman" w:eastAsia="楷体"/>
                <w:b/>
                <w:bCs/>
                <w:kern w:val="0"/>
                <w:sz w:val="20"/>
                <w:highlight w:val="none"/>
              </w:rPr>
              <w:t>四、净资产变动额（若为净资产减少额，以“-”号填列）</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45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bl>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sz w:val="30"/>
          <w:szCs w:val="30"/>
          <w:highlight w:val="none"/>
        </w:rPr>
      </w:pPr>
      <w:r>
        <w:rPr>
          <w:rFonts w:ascii="Times New Roman" w:hAnsi="Times New Roman" w:eastAsia="方正小标宋简体"/>
          <w:sz w:val="30"/>
          <w:szCs w:val="30"/>
          <w:highlight w:val="none"/>
        </w:rPr>
        <w:t>现 金 流 量 表</w:t>
      </w:r>
    </w:p>
    <w:tbl>
      <w:tblPr>
        <w:tblStyle w:val="3"/>
        <w:tblW w:w="0" w:type="auto"/>
        <w:tblInd w:w="0" w:type="dxa"/>
        <w:tblLayout w:type="fixed"/>
        <w:tblCellMar>
          <w:top w:w="0" w:type="dxa"/>
          <w:left w:w="108" w:type="dxa"/>
          <w:bottom w:w="0" w:type="dxa"/>
          <w:right w:w="108" w:type="dxa"/>
        </w:tblCellMar>
      </w:tblPr>
      <w:tblGrid>
        <w:gridCol w:w="6342"/>
        <w:gridCol w:w="692"/>
        <w:gridCol w:w="2735"/>
      </w:tblGrid>
      <w:tr>
        <w:tblPrEx>
          <w:tblCellMar>
            <w:top w:w="0" w:type="dxa"/>
            <w:left w:w="108" w:type="dxa"/>
            <w:bottom w:w="0" w:type="dxa"/>
            <w:right w:w="108" w:type="dxa"/>
          </w:tblCellMar>
        </w:tblPrEx>
        <w:trPr>
          <w:trHeight w:val="284" w:hRule="exact"/>
        </w:trPr>
        <w:tc>
          <w:tcPr>
            <w:tcW w:w="9769" w:type="dxa"/>
            <w:gridSpan w:val="3"/>
            <w:tcBorders>
              <w:left w:val="nil"/>
              <w:bottom w:val="nil"/>
              <w:right w:val="nil"/>
            </w:tcBorders>
            <w:shd w:val="clear" w:color="000000" w:fill="FFFFFF"/>
            <w:noWrap/>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21"/>
                <w:szCs w:val="21"/>
                <w:highlight w:val="none"/>
                <w:lang w:eastAsia="zh-CN"/>
              </w:rPr>
              <w:t>2022</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会民非03表</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28"/>
                <w:highlight w:val="none"/>
              </w:rPr>
            </w:pPr>
            <w:r>
              <w:rPr>
                <w:rFonts w:ascii="Times New Roman" w:hAnsi="Times New Roman" w:eastAsia="楷体"/>
                <w:b/>
                <w:bCs/>
                <w:kern w:val="0"/>
                <w:sz w:val="18"/>
                <w:szCs w:val="2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货币单位：人民币元</w:t>
            </w:r>
          </w:p>
        </w:tc>
      </w:tr>
      <w:tr>
        <w:tblPrEx>
          <w:tblCellMar>
            <w:top w:w="0" w:type="dxa"/>
            <w:left w:w="108" w:type="dxa"/>
            <w:bottom w:w="0" w:type="dxa"/>
            <w:right w:w="108" w:type="dxa"/>
          </w:tblCellMar>
        </w:tblPrEx>
        <w:trPr>
          <w:trHeight w:val="284" w:hRule="exact"/>
        </w:trPr>
        <w:tc>
          <w:tcPr>
            <w:tcW w:w="634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项  目</w:t>
            </w:r>
          </w:p>
        </w:tc>
        <w:tc>
          <w:tcPr>
            <w:tcW w:w="692"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行次</w:t>
            </w:r>
          </w:p>
        </w:tc>
        <w:tc>
          <w:tcPr>
            <w:tcW w:w="2735" w:type="dxa"/>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金  额</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一、业务活动产生的现金流量：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接受捐赠收到的现金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收取会费收到的现金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提供服务收到的现金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销售商品收到的现金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政府补助收到的现金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13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提供捐赠或者资助支付的现金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支付给员工以及为员工支付的现金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购买商品、接受服务支付的现金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业务活动产生的现金流量净额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二、投资活动产生的现金流量：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收回投资所收到的现金 </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取得投资收益所收到的现金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处置固定资产和无形资产所收回的现金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34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购建固定资产和无形资产所支付的现金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对外投资所支付的现金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投资活动产生的现金流量净额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三、筹资活动产生的现金流量：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借款所收到的现金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偿还借款所支付的现金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偿付利息所支付的现金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筹资活动产生的现金流量净额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四、汇率变动对现金的影响额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8"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五、现金及现金等价物净增加额</w:t>
            </w:r>
          </w:p>
        </w:tc>
        <w:tc>
          <w:tcPr>
            <w:tcW w:w="692"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61</w:t>
            </w:r>
          </w:p>
        </w:tc>
        <w:tc>
          <w:tcPr>
            <w:tcW w:w="2735" w:type="dxa"/>
            <w:tcBorders>
              <w:top w:val="nil"/>
              <w:left w:val="nil"/>
              <w:bottom w:val="single" w:color="auto" w:sz="8"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bl>
    <w:p>
      <w:pPr>
        <w:widowControl/>
        <w:jc w:val="left"/>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r>
        <w:rPr>
          <w:rFonts w:ascii="Times New Roman" w:hAnsi="Times New Roman" w:eastAsia="楷体_GB2312"/>
          <w:b/>
          <w:sz w:val="32"/>
          <w:szCs w:val="32"/>
          <w:highlight w:val="none"/>
        </w:rPr>
        <w:t>会计报表附注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 w:val="21"/>
          <w:szCs w:val="21"/>
          <w:highlight w:val="none"/>
        </w:rPr>
      </w:pPr>
      <w:r>
        <w:rPr>
          <w:rFonts w:ascii="Times New Roman" w:hAnsi="Times New Roman" w:eastAsia="楷体_GB2312"/>
          <w:sz w:val="21"/>
          <w:szCs w:val="21"/>
          <w:highlight w:val="none"/>
        </w:rPr>
        <w:t>截止</w:t>
      </w:r>
      <w:r>
        <w:rPr>
          <w:rFonts w:hint="eastAsia" w:ascii="Times New Roman" w:hAnsi="Times New Roman" w:eastAsia="楷体_GB2312"/>
          <w:sz w:val="21"/>
          <w:szCs w:val="21"/>
          <w:highlight w:val="none"/>
          <w:lang w:eastAsia="zh-CN"/>
        </w:rPr>
        <w:t>2022</w:t>
      </w:r>
      <w:r>
        <w:rPr>
          <w:rFonts w:ascii="Times New Roman" w:hAnsi="Times New Roman" w:eastAsia="楷体_GB2312"/>
          <w:sz w:val="21"/>
          <w:szCs w:val="21"/>
          <w:highlight w:val="none"/>
        </w:rPr>
        <w:t>年12月31日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Cs w:val="21"/>
          <w:highlight w:val="none"/>
        </w:rPr>
      </w:pPr>
      <w:r>
        <w:rPr>
          <w:rFonts w:ascii="Times New Roman" w:hAnsi="Times New Roman" w:eastAsia="楷体_GB2312"/>
          <w:sz w:val="21"/>
          <w:szCs w:val="21"/>
          <w:highlight w:val="none"/>
        </w:rPr>
        <w:t>（除特别说明，以人民币元表述）</w:t>
      </w:r>
    </w:p>
    <w:p>
      <w:pPr>
        <w:spacing w:line="540" w:lineRule="exact"/>
        <w:jc w:val="left"/>
        <w:rPr>
          <w:rFonts w:ascii="Times New Roman" w:hAnsi="Times New Roman" w:eastAsia="楷体_GB2312"/>
          <w:b/>
          <w:sz w:val="24"/>
          <w:highlight w:val="none"/>
        </w:rPr>
      </w:pPr>
      <w:r>
        <w:rPr>
          <w:rFonts w:ascii="Times New Roman" w:hAnsi="Times New Roman" w:eastAsia="楷体_GB2312"/>
          <w:b/>
          <w:sz w:val="24"/>
          <w:highlight w:val="none"/>
        </w:rPr>
        <w:t>一、会计报表相关项目注释</w:t>
      </w:r>
    </w:p>
    <w:p>
      <w:pPr>
        <w:spacing w:line="520" w:lineRule="exact"/>
        <w:ind w:left="420" w:hanging="420" w:hangingChars="200"/>
        <w:rPr>
          <w:rFonts w:ascii="Times New Roman" w:hAnsi="Times New Roman" w:eastAsia="楷体_GB2312"/>
          <w:szCs w:val="21"/>
          <w:highlight w:val="none"/>
        </w:rPr>
      </w:pPr>
      <w:r>
        <w:rPr>
          <w:rFonts w:ascii="Times New Roman" w:hAnsi="Times New Roman" w:eastAsia="楷体_GB2312"/>
          <w:szCs w:val="21"/>
          <w:highlight w:val="none"/>
        </w:rPr>
        <w:t xml:space="preserve">     1.</w:t>
      </w:r>
      <w:r>
        <w:rPr>
          <w:rFonts w:ascii="Times New Roman" w:hAnsi="Times New Roman" w:eastAsia="楷体_GB2312"/>
          <w:b/>
          <w:kern w:val="0"/>
          <w:szCs w:val="21"/>
          <w:highlight w:val="none"/>
        </w:rPr>
        <w:t>货币资金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noWrap w:val="0"/>
            <w:vAlign w:val="center"/>
          </w:tcPr>
          <w:p>
            <w:pPr>
              <w:autoSpaceDE w:val="0"/>
              <w:autoSpaceDN w:val="0"/>
              <w:adjustRightInd w:val="0"/>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货币资金种类</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币种</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年初数</w:t>
            </w: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现金</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银行存款</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794"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spacing w:line="360" w:lineRule="auto"/>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其中：</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794" w:type="dxa"/>
            <w:noWrap w:val="0"/>
            <w:vAlign w:val="top"/>
          </w:tcPr>
          <w:p>
            <w:pPr>
              <w:spacing w:line="360" w:lineRule="auto"/>
              <w:ind w:right="10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794" w:type="dxa"/>
            <w:noWrap w:val="0"/>
            <w:vAlign w:val="top"/>
          </w:tcPr>
          <w:p>
            <w:pPr>
              <w:spacing w:line="360" w:lineRule="auto"/>
              <w:ind w:right="100"/>
              <w:jc w:val="center"/>
              <w:rPr>
                <w:rFonts w:ascii="Times New Roman" w:hAnsi="Times New Roman" w:eastAsia="楷体_GB2312"/>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ascii="Times New Roman" w:hAnsi="Times New Roman" w:eastAsia="楷体_GB2312"/>
          <w:b/>
          <w:szCs w:val="21"/>
          <w:highlight w:val="none"/>
        </w:rPr>
        <w:t xml:space="preserve">2.长期投资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00"/>
        <w:gridCol w:w="1812"/>
        <w:gridCol w:w="1716"/>
        <w:gridCol w:w="130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被投资单位</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初始投资额</w:t>
            </w:r>
          </w:p>
        </w:tc>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所占比例</w:t>
            </w:r>
          </w:p>
        </w:tc>
        <w:tc>
          <w:tcPr>
            <w:tcW w:w="11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30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11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35"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80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81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6"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30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114"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spacing w:line="360" w:lineRule="auto"/>
        <w:ind w:firstLine="422" w:firstLineChars="200"/>
        <w:rPr>
          <w:rFonts w:ascii="Times New Roman" w:hAnsi="Times New Roman" w:eastAsia="楷体_GB2312"/>
          <w:b/>
          <w:szCs w:val="21"/>
          <w:highlight w:val="none"/>
        </w:rPr>
      </w:pPr>
      <w:r>
        <w:rPr>
          <w:rFonts w:ascii="Times New Roman" w:hAnsi="Times New Roman" w:eastAsia="楷体_GB2312"/>
          <w:b/>
          <w:szCs w:val="21"/>
          <w:highlight w:val="none"/>
        </w:rPr>
        <w:t>3.其他应付款项</w:t>
      </w:r>
    </w:p>
    <w:tbl>
      <w:tblPr>
        <w:tblStyle w:val="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内容</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854"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54"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ascii="Times New Roman" w:hAnsi="Times New Roman" w:eastAsia="楷体_GB2312"/>
          <w:b/>
          <w:szCs w:val="21"/>
          <w:highlight w:val="none"/>
        </w:rPr>
      </w:pPr>
      <w:r>
        <w:rPr>
          <w:rFonts w:hint="eastAsia" w:ascii="Times New Roman" w:hAnsi="Times New Roman" w:eastAsia="楷体"/>
          <w:b/>
          <w:bCs/>
          <w:kern w:val="0"/>
          <w:sz w:val="22"/>
          <w:highlight w:val="none"/>
        </w:rPr>
        <w:t>4.其他应收账款</w:t>
      </w:r>
    </w:p>
    <w:tbl>
      <w:tblPr>
        <w:tblStyle w:val="3"/>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预计清账时间</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818"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81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5</w:t>
      </w:r>
      <w:r>
        <w:rPr>
          <w:rFonts w:ascii="Times New Roman" w:hAnsi="Times New Roman" w:eastAsia="楷体_GB2312"/>
          <w:b/>
          <w:szCs w:val="21"/>
          <w:highlight w:val="none"/>
        </w:rPr>
        <w:t xml:space="preserve">.应交税金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1904"/>
        <w:gridCol w:w="1714"/>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税费项目</w:t>
            </w:r>
          </w:p>
        </w:tc>
        <w:tc>
          <w:tcPr>
            <w:tcW w:w="1904"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714"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2068"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适用税率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1.增值税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2.企业所得税</w:t>
            </w:r>
          </w:p>
        </w:tc>
        <w:tc>
          <w:tcPr>
            <w:tcW w:w="1904" w:type="dxa"/>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3.土地增值税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4.城市维护建设税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5.房产税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6.土地使用税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7.车船使用税</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8.教育费附加</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9.代扣代缴个人所得税</w:t>
            </w:r>
          </w:p>
        </w:tc>
        <w:tc>
          <w:tcPr>
            <w:tcW w:w="1904" w:type="dxa"/>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2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90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714"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068"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6</w:t>
      </w:r>
      <w:r>
        <w:rPr>
          <w:rFonts w:ascii="Times New Roman" w:hAnsi="Times New Roman" w:eastAsia="楷体_GB2312"/>
          <w:b/>
          <w:szCs w:val="21"/>
          <w:highlight w:val="none"/>
        </w:rPr>
        <w:t>.提供服务收入</w:t>
      </w:r>
    </w:p>
    <w:tbl>
      <w:tblPr>
        <w:tblStyle w:val="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957"/>
        <w:gridCol w:w="1475"/>
        <w:gridCol w:w="1589"/>
        <w:gridCol w:w="1451"/>
        <w:gridCol w:w="1317"/>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56"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30"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 信息咨询</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8"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 技术服务</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81"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 培训收费</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116" w:hRule="atLeast"/>
          <w:jc w:val="center"/>
        </w:trPr>
        <w:tc>
          <w:tcPr>
            <w:tcW w:w="1569"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 技术成果转让</w:t>
            </w:r>
          </w:p>
        </w:tc>
        <w:tc>
          <w:tcPr>
            <w:tcW w:w="1737"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573"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9" w:hRule="atLeast"/>
          <w:jc w:val="center"/>
        </w:trPr>
        <w:tc>
          <w:tcPr>
            <w:tcW w:w="1569"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r>
              <w:rPr>
                <w:rFonts w:hint="eastAsia" w:ascii="Times New Roman" w:hAnsi="Times New Roman" w:eastAsia="楷体_GB2312"/>
                <w:sz w:val="18"/>
                <w:szCs w:val="18"/>
                <w:highlight w:val="none"/>
              </w:rPr>
              <w:t>5.其他</w:t>
            </w:r>
          </w:p>
        </w:tc>
        <w:tc>
          <w:tcPr>
            <w:tcW w:w="1737"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 w:type="pct"/>
          <w:cantSplit/>
          <w:trHeight w:val="79" w:hRule="atLeast"/>
          <w:jc w:val="center"/>
        </w:trPr>
        <w:tc>
          <w:tcPr>
            <w:tcW w:w="1569"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80" w:type="pct"/>
            <w:gridSpan w:val="6"/>
            <w:tcBorders>
              <w:top w:val="nil"/>
              <w:left w:val="nil"/>
              <w:bottom w:val="nil"/>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7.</w:t>
            </w:r>
            <w:r>
              <w:rPr>
                <w:rFonts w:ascii="Times New Roman" w:hAnsi="Times New Roman" w:eastAsia="楷体"/>
                <w:b/>
                <w:bCs/>
                <w:kern w:val="0"/>
                <w:sz w:val="22"/>
                <w:highlight w:val="none"/>
              </w:rPr>
              <w:t>捐赠收入</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项    目 </w:t>
            </w:r>
          </w:p>
        </w:tc>
        <w:tc>
          <w:tcPr>
            <w:tcW w:w="1556"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捐赠单位 </w:t>
            </w:r>
          </w:p>
        </w:tc>
        <w:tc>
          <w:tcPr>
            <w:tcW w:w="1544"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金额 </w:t>
            </w:r>
          </w:p>
        </w:tc>
        <w:tc>
          <w:tcPr>
            <w:tcW w:w="835" w:type="pct"/>
            <w:tcBorders>
              <w:top w:val="double" w:color="auto" w:sz="6" w:space="0"/>
              <w:left w:val="nil"/>
              <w:bottom w:val="single" w:color="auto" w:sz="4" w:space="0"/>
              <w:right w:val="double" w:color="000000" w:sz="6"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用途</w:t>
            </w:r>
          </w:p>
        </w:tc>
        <w:tc>
          <w:tcPr>
            <w:tcW w:w="119"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c>
          <w:tcPr>
            <w:tcW w:w="119" w:type="pct"/>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double" w:color="auto" w:sz="6"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556" w:type="pct"/>
            <w:gridSpan w:val="2"/>
            <w:tcBorders>
              <w:top w:val="single" w:color="auto" w:sz="4" w:space="0"/>
              <w:left w:val="nil"/>
              <w:bottom w:val="double" w:color="auto" w:sz="6"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double" w:color="auto" w:sz="6"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835" w:type="pct"/>
            <w:tcBorders>
              <w:top w:val="single" w:color="auto" w:sz="4" w:space="0"/>
              <w:left w:val="nil"/>
              <w:bottom w:val="double" w:color="auto" w:sz="6"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80" w:type="pct"/>
            <w:gridSpan w:val="6"/>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8.</w:t>
            </w:r>
            <w:r>
              <w:rPr>
                <w:rFonts w:ascii="Times New Roman" w:hAnsi="Times New Roman" w:eastAsia="楷体"/>
                <w:b/>
                <w:bCs/>
                <w:kern w:val="0"/>
                <w:sz w:val="22"/>
                <w:highlight w:val="none"/>
              </w:rPr>
              <w:t>境外资金投入</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投入名称 </w:t>
            </w:r>
          </w:p>
        </w:tc>
        <w:tc>
          <w:tcPr>
            <w:tcW w:w="1556"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投入时间 </w:t>
            </w:r>
          </w:p>
        </w:tc>
        <w:tc>
          <w:tcPr>
            <w:tcW w:w="1544" w:type="pct"/>
            <w:gridSpan w:val="2"/>
            <w:tcBorders>
              <w:top w:val="double" w:color="auto" w:sz="6"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金额 </w:t>
            </w:r>
          </w:p>
        </w:tc>
        <w:tc>
          <w:tcPr>
            <w:tcW w:w="835" w:type="pct"/>
            <w:tcBorders>
              <w:top w:val="double" w:color="auto" w:sz="6"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用途</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56" w:type="pct"/>
            <w:gridSpan w:val="2"/>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835" w:type="pct"/>
            <w:tcBorders>
              <w:top w:val="single" w:color="auto" w:sz="4" w:space="0"/>
              <w:left w:val="nil"/>
              <w:bottom w:val="single" w:color="auto" w:sz="4"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943" w:type="pct"/>
            <w:tcBorders>
              <w:top w:val="single" w:color="auto" w:sz="4" w:space="0"/>
              <w:left w:val="double" w:color="auto" w:sz="6" w:space="0"/>
              <w:bottom w:val="double" w:color="auto" w:sz="6" w:space="0"/>
              <w:right w:val="single" w:color="000000"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556" w:type="pct"/>
            <w:gridSpan w:val="2"/>
            <w:tcBorders>
              <w:top w:val="single" w:color="auto" w:sz="4" w:space="0"/>
              <w:left w:val="nil"/>
              <w:bottom w:val="double" w:color="auto" w:sz="6"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544" w:type="pct"/>
            <w:gridSpan w:val="2"/>
            <w:tcBorders>
              <w:top w:val="single" w:color="auto" w:sz="4" w:space="0"/>
              <w:left w:val="nil"/>
              <w:bottom w:val="double" w:color="auto" w:sz="6"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835" w:type="pct"/>
            <w:tcBorders>
              <w:top w:val="single" w:color="auto" w:sz="4" w:space="0"/>
              <w:left w:val="nil"/>
              <w:bottom w:val="double" w:color="auto" w:sz="6" w:space="0"/>
              <w:right w:val="double" w:color="000000" w:sz="6"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19"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9</w:t>
      </w:r>
      <w:r>
        <w:rPr>
          <w:rFonts w:ascii="Times New Roman" w:hAnsi="Times New Roman" w:eastAsia="楷体_GB2312"/>
          <w:b/>
          <w:szCs w:val="21"/>
          <w:highlight w:val="none"/>
        </w:rPr>
        <w:t>.投资收益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6"/>
        <w:gridCol w:w="2095"/>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5336"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产生投资收益的来源</w:t>
            </w:r>
          </w:p>
        </w:tc>
        <w:tc>
          <w:tcPr>
            <w:tcW w:w="2095"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本年发生额</w:t>
            </w:r>
          </w:p>
        </w:tc>
        <w:tc>
          <w:tcPr>
            <w:tcW w:w="2194"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5336"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无</w:t>
            </w:r>
          </w:p>
        </w:tc>
        <w:tc>
          <w:tcPr>
            <w:tcW w:w="2095"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c>
          <w:tcPr>
            <w:tcW w:w="2194"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5336"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合  计</w:t>
            </w:r>
          </w:p>
        </w:tc>
        <w:tc>
          <w:tcPr>
            <w:tcW w:w="2095"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c>
          <w:tcPr>
            <w:tcW w:w="2194" w:type="dxa"/>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10</w:t>
      </w:r>
      <w:r>
        <w:rPr>
          <w:rFonts w:ascii="Times New Roman" w:hAnsi="Times New Roman" w:eastAsia="楷体_GB2312"/>
          <w:b/>
          <w:szCs w:val="21"/>
          <w:highlight w:val="none"/>
        </w:rPr>
        <w:t>.管理费用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003"/>
        <w:gridCol w:w="226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上年同期</w:t>
            </w: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工资</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奖金</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住房公积金</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住房补贴</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社会保障费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离退休人员工资与补助</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办公费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水电费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邮电费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物业管理费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差旅费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折旧费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修理费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租赁费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无形资产摊销费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资产盘亏损失 </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资产减值损失</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因预计负债所产生的损失</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聘请中介机构费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应偿还的受赠资产</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交通费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其他费用</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广告宣传费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福利费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业务招待费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会务费</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2003"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26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2806"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11</w:t>
      </w:r>
      <w:r>
        <w:rPr>
          <w:rFonts w:ascii="Times New Roman" w:hAnsi="Times New Roman" w:eastAsia="楷体_GB2312"/>
          <w:b/>
          <w:szCs w:val="21"/>
          <w:highlight w:val="none"/>
        </w:rPr>
        <w:t xml:space="preserve">.工作人员费用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6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5"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655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pacing w:val="-10"/>
                <w:sz w:val="18"/>
                <w:szCs w:val="18"/>
                <w:highlight w:val="none"/>
              </w:rPr>
            </w:pPr>
            <w:r>
              <w:rPr>
                <w:rFonts w:ascii="Times New Roman" w:hAnsi="Times New Roman" w:eastAsia="楷体_GB2312"/>
                <w:spacing w:val="-10"/>
                <w:sz w:val="18"/>
                <w:szCs w:val="18"/>
                <w:highlight w:val="none"/>
              </w:rPr>
              <w:t>一、工资、奖金、津贴和补贴</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二、职工福利费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三、社会保险费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其中：1．医疗保险费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2．基本养老保险费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3．年金缴费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4．失业保险费</w:t>
            </w:r>
          </w:p>
        </w:tc>
        <w:tc>
          <w:tcPr>
            <w:tcW w:w="6558"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5．工伤保险费</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6．生育保险费</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四、住房公积金</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五、非货币性福利</w:t>
            </w:r>
          </w:p>
        </w:tc>
        <w:tc>
          <w:tcPr>
            <w:tcW w:w="6558"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六、其他</w:t>
            </w:r>
          </w:p>
        </w:tc>
        <w:tc>
          <w:tcPr>
            <w:tcW w:w="6558"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55"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6558" w:type="dxa"/>
            <w:noWrap w:val="0"/>
            <w:vAlign w:val="top"/>
          </w:tcPr>
          <w:p>
            <w:pPr>
              <w:jc w:val="center"/>
              <w:rPr>
                <w:rFonts w:ascii="Times New Roman" w:hAnsi="Times New Roman" w:eastAsia="楷体_GB2312"/>
                <w:sz w:val="18"/>
                <w:szCs w:val="18"/>
                <w:highlight w:val="none"/>
              </w:rPr>
            </w:pPr>
          </w:p>
        </w:tc>
      </w:tr>
    </w:tbl>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二、负责人和工作人员获得的薪金等报酬情况的说明</w:t>
      </w:r>
    </w:p>
    <w:p>
      <w:pPr>
        <w:spacing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1.列示领取报酬的负责人名单及领取报酬的金额。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5" w:type="dxa"/>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负责人</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  名</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818"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常务副会长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秘书长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金额合计</w:t>
            </w:r>
          </w:p>
        </w:tc>
        <w:tc>
          <w:tcPr>
            <w:tcW w:w="2265" w:type="dxa"/>
            <w:noWrap w:val="0"/>
            <w:vAlign w:val="top"/>
          </w:tcPr>
          <w:p>
            <w:pPr>
              <w:spacing w:line="360" w:lineRule="auto"/>
              <w:rPr>
                <w:rFonts w:ascii="Times New Roman" w:hAnsi="Times New Roman" w:eastAsia="楷体_GB2312"/>
                <w:sz w:val="18"/>
                <w:szCs w:val="18"/>
                <w:highlight w:val="none"/>
              </w:rPr>
            </w:pPr>
          </w:p>
        </w:tc>
        <w:tc>
          <w:tcPr>
            <w:tcW w:w="2265" w:type="dxa"/>
            <w:noWrap w:val="0"/>
            <w:vAlign w:val="top"/>
          </w:tcPr>
          <w:p>
            <w:pPr>
              <w:spacing w:line="360" w:lineRule="auto"/>
              <w:jc w:val="center"/>
              <w:rPr>
                <w:rFonts w:ascii="Times New Roman" w:hAnsi="Times New Roman" w:eastAsia="楷体_GB2312"/>
                <w:sz w:val="18"/>
                <w:szCs w:val="18"/>
                <w:highlight w:val="none"/>
              </w:rPr>
            </w:pPr>
          </w:p>
        </w:tc>
        <w:tc>
          <w:tcPr>
            <w:tcW w:w="2818"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2. 列示领取报酬的工作人员名单及领取报酬的金额。（含支付的劳务费）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74"/>
        <w:gridCol w:w="227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8"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姓名</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专/兼职</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金额/年</w:t>
            </w:r>
          </w:p>
        </w:tc>
        <w:tc>
          <w:tcPr>
            <w:tcW w:w="2815"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81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815"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三、固定资产清查明细表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755"/>
        <w:gridCol w:w="1142"/>
        <w:gridCol w:w="786"/>
        <w:gridCol w:w="725"/>
        <w:gridCol w:w="1020"/>
        <w:gridCol w:w="1314"/>
        <w:gridCol w:w="87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68"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名  称</w:t>
            </w:r>
          </w:p>
        </w:tc>
        <w:tc>
          <w:tcPr>
            <w:tcW w:w="75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来 源</w:t>
            </w:r>
          </w:p>
        </w:tc>
        <w:tc>
          <w:tcPr>
            <w:tcW w:w="1142"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时  间</w:t>
            </w:r>
          </w:p>
        </w:tc>
        <w:tc>
          <w:tcPr>
            <w:tcW w:w="786"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位</w:t>
            </w:r>
          </w:p>
        </w:tc>
        <w:tc>
          <w:tcPr>
            <w:tcW w:w="72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数 量</w:t>
            </w:r>
          </w:p>
        </w:tc>
        <w:tc>
          <w:tcPr>
            <w:tcW w:w="1020"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价</w:t>
            </w:r>
          </w:p>
        </w:tc>
        <w:tc>
          <w:tcPr>
            <w:tcW w:w="1314"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金 额</w:t>
            </w:r>
          </w:p>
        </w:tc>
        <w:tc>
          <w:tcPr>
            <w:tcW w:w="87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用  途</w:t>
            </w:r>
          </w:p>
        </w:tc>
        <w:tc>
          <w:tcPr>
            <w:tcW w:w="1428"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68" w:type="dxa"/>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sz w:val="18"/>
                <w:szCs w:val="18"/>
                <w:highlight w:val="none"/>
              </w:rPr>
              <w:t>合 计</w:t>
            </w: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1428" w:type="dxa"/>
            <w:noWrap w:val="0"/>
            <w:vAlign w:val="center"/>
          </w:tcPr>
          <w:p>
            <w:pPr>
              <w:widowControl/>
              <w:jc w:val="right"/>
              <w:rPr>
                <w:rFonts w:ascii="Times New Roman" w:hAnsi="Times New Roman" w:eastAsia="楷体_GB2312"/>
                <w:kern w:val="0"/>
                <w:sz w:val="18"/>
                <w:szCs w:val="18"/>
                <w:highlight w:val="none"/>
              </w:rPr>
            </w:pPr>
          </w:p>
        </w:tc>
      </w:tr>
    </w:tbl>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说明：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1.本表按固定资产原值科目明细账期末信息填列。</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2.来源包括“自购”或“受赠”，时间为自购或受赠时间、用途为“自用”或“非自用”。</w:t>
      </w:r>
    </w:p>
    <w:p>
      <w:pPr>
        <w:tabs>
          <w:tab w:val="left" w:pos="525"/>
        </w:tabs>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四、受托代理业务情况的说明</w:t>
      </w:r>
    </w:p>
    <w:p>
      <w:pPr>
        <w:spacing w:line="360" w:lineRule="auto"/>
        <w:ind w:firstLine="482"/>
        <w:rPr>
          <w:rFonts w:ascii="Times New Roman" w:hAnsi="Times New Roman" w:eastAsia="楷体_GB2312"/>
          <w:szCs w:val="21"/>
          <w:highlight w:val="none"/>
        </w:rPr>
      </w:pPr>
      <w:r>
        <w:rPr>
          <w:rFonts w:ascii="Times New Roman" w:hAnsi="Times New Roman" w:eastAsia="楷体_GB2312"/>
          <w:szCs w:val="21"/>
          <w:highlight w:val="none"/>
        </w:rPr>
        <w:t>本社会团体无受托代理业务。</w:t>
      </w:r>
    </w:p>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五、重大资产减值情况的说明</w:t>
      </w:r>
    </w:p>
    <w:p>
      <w:pPr>
        <w:spacing w:line="360" w:lineRule="auto"/>
        <w:ind w:firstLine="525" w:firstLineChars="250"/>
        <w:rPr>
          <w:rFonts w:ascii="Times New Roman" w:hAnsi="Times New Roman" w:eastAsia="楷体_GB2312"/>
          <w:szCs w:val="21"/>
          <w:highlight w:val="none"/>
        </w:rPr>
      </w:pPr>
      <w:r>
        <w:rPr>
          <w:rFonts w:ascii="Times New Roman" w:hAnsi="Times New Roman" w:eastAsia="楷体_GB2312"/>
          <w:szCs w:val="21"/>
          <w:highlight w:val="none"/>
        </w:rPr>
        <w:t>本社会团体</w:t>
      </w:r>
      <w:r>
        <w:rPr>
          <w:rFonts w:hint="eastAsia" w:ascii="Times New Roman" w:hAnsi="Times New Roman" w:eastAsia="楷体_GB2312"/>
          <w:szCs w:val="21"/>
          <w:highlight w:val="none"/>
        </w:rPr>
        <w:t>有</w:t>
      </w:r>
      <w:r>
        <w:rPr>
          <w:rFonts w:ascii="Times New Roman" w:hAnsi="Times New Roman" w:eastAsia="楷体_GB2312"/>
          <w:szCs w:val="21"/>
          <w:highlight w:val="none"/>
        </w:rPr>
        <w:t>无重大资产减值情况</w:t>
      </w:r>
      <w:r>
        <w:rPr>
          <w:rFonts w:hint="eastAsia" w:ascii="Times New Roman" w:hAnsi="Times New Roman" w:eastAsia="楷体_GB2312"/>
          <w:szCs w:val="21"/>
          <w:highlight w:val="none"/>
        </w:rPr>
        <w:t>。国有资产和暂按国有资产管理的资产减值总额为****元，其中：国有资产减值****元，暂按国有资产管理的资产减值****元。</w:t>
      </w:r>
    </w:p>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六、需要说明的其他事项</w:t>
      </w:r>
    </w:p>
    <w:p>
      <w:pPr>
        <w:spacing w:line="540" w:lineRule="exact"/>
        <w:rPr>
          <w:rFonts w:ascii="Times New Roman" w:hAnsi="Times New Roman" w:eastAsia="楷体_GB2312"/>
          <w:highlight w:val="none"/>
        </w:rPr>
      </w:pPr>
      <w:r>
        <w:rPr>
          <w:rFonts w:ascii="Times New Roman" w:hAnsi="Times New Roman" w:eastAsia="楷体_GB2312"/>
          <w:szCs w:val="21"/>
          <w:highlight w:val="none"/>
        </w:rPr>
        <w:t xml:space="preserve">     </w:t>
      </w:r>
      <w:r>
        <w:rPr>
          <w:rFonts w:ascii="Times New Roman" w:hAnsi="Times New Roman" w:eastAsia="楷体_GB2312"/>
          <w:highlight w:val="none"/>
        </w:rPr>
        <w:t>上述</w:t>
      </w:r>
      <w:r>
        <w:rPr>
          <w:rFonts w:hint="eastAsia" w:ascii="Times New Roman" w:hAnsi="Times New Roman" w:eastAsia="楷体_GB2312"/>
          <w:highlight w:val="none"/>
          <w:lang w:eastAsia="zh-CN"/>
        </w:rPr>
        <w:t>2022</w:t>
      </w:r>
      <w:r>
        <w:rPr>
          <w:rFonts w:ascii="Times New Roman" w:hAnsi="Times New Roman" w:eastAsia="楷体_GB2312"/>
          <w:highlight w:val="none"/>
        </w:rPr>
        <w:t>年度会计报表和会计报表有关附注，系我们按《民间非营利组织会计制度》编制。</w:t>
      </w:r>
    </w:p>
    <w:p>
      <w:pPr>
        <w:tabs>
          <w:tab w:val="left" w:pos="540"/>
        </w:tabs>
        <w:adjustRightInd w:val="0"/>
        <w:spacing w:line="300" w:lineRule="auto"/>
        <w:rPr>
          <w:rFonts w:ascii="Times New Roman" w:hAnsi="Times New Roman" w:eastAsia="楷体_GB2312"/>
          <w:highlight w:val="none"/>
        </w:rPr>
      </w:pPr>
    </w:p>
    <w:tbl>
      <w:tblPr>
        <w:tblStyle w:val="3"/>
        <w:tblW w:w="0" w:type="auto"/>
        <w:tblInd w:w="0" w:type="dxa"/>
        <w:tblLayout w:type="fixed"/>
        <w:tblCellMar>
          <w:top w:w="0" w:type="dxa"/>
          <w:left w:w="108" w:type="dxa"/>
          <w:bottom w:w="0" w:type="dxa"/>
          <w:right w:w="108" w:type="dxa"/>
        </w:tblCellMar>
      </w:tblPr>
      <w:tblGrid>
        <w:gridCol w:w="5598"/>
        <w:gridCol w:w="4135"/>
      </w:tblGrid>
      <w:tr>
        <w:tblPrEx>
          <w:tblCellMar>
            <w:top w:w="0" w:type="dxa"/>
            <w:left w:w="108" w:type="dxa"/>
            <w:bottom w:w="0" w:type="dxa"/>
            <w:right w:w="108" w:type="dxa"/>
          </w:tblCellMar>
        </w:tblPrEx>
        <w:trPr>
          <w:trHeight w:val="348" w:hRule="atLeast"/>
        </w:trPr>
        <w:tc>
          <w:tcPr>
            <w:tcW w:w="9733" w:type="dxa"/>
            <w:gridSpan w:val="2"/>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社会团体名称：</w:t>
            </w:r>
            <w:r>
              <w:rPr>
                <w:rFonts w:ascii="Times New Roman" w:hAnsi="Times New Roman" w:eastAsia="楷体_GB2312"/>
                <w:szCs w:val="21"/>
                <w:highlight w:val="none"/>
              </w:rPr>
              <w:t>天津市****</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社会团体负责人：（签字）</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社会团体财务负责人：（签字）</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48"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2023</w:t>
            </w:r>
            <w:r>
              <w:rPr>
                <w:rFonts w:ascii="Times New Roman" w:hAnsi="Times New Roman" w:eastAsia="楷体_GB2312"/>
                <w:highlight w:val="none"/>
              </w:rPr>
              <w:t>年##月##日</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2023</w:t>
            </w:r>
            <w:r>
              <w:rPr>
                <w:rFonts w:ascii="Times New Roman" w:hAnsi="Times New Roman" w:eastAsia="楷体_GB2312"/>
                <w:highlight w:val="none"/>
              </w:rPr>
              <w:t>年##月##日</w:t>
            </w:r>
          </w:p>
        </w:tc>
      </w:tr>
    </w:tbl>
    <w:p>
      <w:pPr>
        <w:rPr>
          <w:highlight w:val="none"/>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E2409"/>
    <w:multiLevelType w:val="singleLevel"/>
    <w:tmpl w:val="CC2E240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02FB2664"/>
    <w:rsid w:val="2F18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4290</Words>
  <Characters>4843</Characters>
  <Lines>0</Lines>
  <Paragraphs>0</Paragraphs>
  <TotalTime>2</TotalTime>
  <ScaleCrop>false</ScaleCrop>
  <LinksUpToDate>false</LinksUpToDate>
  <CharactersWithSpaces>5651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2023-02-24T08:01:00Z</dcterms:created>
  <dc:creator>1</dc:creator>
  <cp:lastModifiedBy>sai</cp:lastModifiedBy>
  <dcterms:modified xsi:type="dcterms:W3CDTF">2023-02-24T08:10:33Z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985FE77BD0A44C6DBBDBD77EBEEC8511</vt:lpwstr>
  </property>
</Properties>
</file>