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600" w:lineRule="exact"/>
        <w:jc w:val="center"/>
        <w:rPr>
          <w:rFonts w:hint="eastAsia" w:ascii="宋体"/>
          <w:b/>
          <w:color w:val="FF0000"/>
          <w:spacing w:val="2"/>
          <w:sz w:val="72"/>
          <w:szCs w:val="72"/>
        </w:rPr>
      </w:pPr>
    </w:p>
    <w:p>
      <w:pPr>
        <w:ind w:right="2244" w:rightChars="935"/>
        <w:jc w:val="distribute"/>
        <w:rPr>
          <w:rFonts w:hint="eastAsia" w:ascii="宋体"/>
          <w:b/>
          <w:color w:val="FF0000"/>
          <w:spacing w:val="2"/>
          <w:sz w:val="84"/>
          <w:szCs w:val="84"/>
        </w:rPr>
      </w:pPr>
      <w:r>
        <w:rPr>
          <w:rFonts w:hint="eastAsia" w:ascii="宋体"/>
          <w:b/>
          <w:color w:val="FF0000"/>
          <w:spacing w:val="2"/>
          <w:sz w:val="84"/>
          <w:szCs w:val="84"/>
        </w:rPr>
        <mc:AlternateContent>
          <mc:Choice Requires="wps">
            <w:drawing>
              <wp:anchor distT="0" distB="0" distL="114300" distR="114300" simplePos="0" relativeHeight="251660288" behindDoc="0" locked="0" layoutInCell="1" allowOverlap="1">
                <wp:simplePos x="0" y="0"/>
                <wp:positionH relativeFrom="column">
                  <wp:posOffset>4266565</wp:posOffset>
                </wp:positionH>
                <wp:positionV relativeFrom="paragraph">
                  <wp:posOffset>376555</wp:posOffset>
                </wp:positionV>
                <wp:extent cx="2286000" cy="1759585"/>
                <wp:effectExtent l="0" t="0" r="0" b="0"/>
                <wp:wrapNone/>
                <wp:docPr id="2" name="文本框 2"/>
                <wp:cNvGraphicFramePr/>
                <a:graphic xmlns:a="http://schemas.openxmlformats.org/drawingml/2006/main">
                  <a:graphicData uri="http://schemas.microsoft.com/office/word/2010/wordprocessingShape">
                    <wps:wsp>
                      <wps:cNvSpPr txBox="1"/>
                      <wps:spPr>
                        <a:xfrm>
                          <a:off x="0" y="0"/>
                          <a:ext cx="2286000" cy="1759585"/>
                        </a:xfrm>
                        <a:prstGeom prst="rect">
                          <a:avLst/>
                        </a:prstGeom>
                        <a:noFill/>
                        <a:ln>
                          <a:noFill/>
                        </a:ln>
                      </wps:spPr>
                      <wps:txbx>
                        <w:txbxContent>
                          <w:p>
                            <w:r>
                              <w:rPr>
                                <w:rFonts w:hint="eastAsia" w:ascii="宋体"/>
                                <w:b/>
                                <w:color w:val="FF0000"/>
                                <w:spacing w:val="2"/>
                                <w:sz w:val="84"/>
                                <w:szCs w:val="84"/>
                              </w:rPr>
                              <w:t>文件</w:t>
                            </w:r>
                          </w:p>
                        </w:txbxContent>
                      </wps:txbx>
                      <wps:bodyPr upright="1"/>
                    </wps:wsp>
                  </a:graphicData>
                </a:graphic>
              </wp:anchor>
            </w:drawing>
          </mc:Choice>
          <mc:Fallback>
            <w:pict>
              <v:shape id="_x0000_s1026" o:spid="_x0000_s1026" o:spt="202" type="#_x0000_t202" style="position:absolute;left:0pt;margin-left:335.95pt;margin-top:29.65pt;height:138.55pt;width:180pt;z-index:251660288;mso-width-relative:page;mso-height-relative:page;" filled="f" stroked="f" coordsize="21600,21600" o:gfxdata="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jxuP81wAA&#10;AAsBAAAPAAAAAAAAAAEAIAAAACIAAABkcnMvZG93bnJldi54bWxQSwECFAAUAAAACACHTuJAPch9&#10;Sq0BAABPAwAADgAAAAAAAAABACAAAAAmAQAAZHJzL2Uyb0RvYy54bWxQSwUGAAAAAAYABgBZAQAA&#10;RQUAAAAA&#10;">
                <v:fill on="f" focussize="0,0"/>
                <v:stroke on="f"/>
                <v:imagedata o:title=""/>
                <o:lock v:ext="edit" aspectratio="f"/>
                <v:textbox>
                  <w:txbxContent>
                    <w:p>
                      <w:r>
                        <w:rPr>
                          <w:rFonts w:hint="eastAsia" w:ascii="宋体"/>
                          <w:b/>
                          <w:color w:val="FF0000"/>
                          <w:spacing w:val="2"/>
                          <w:sz w:val="84"/>
                          <w:szCs w:val="84"/>
                        </w:rPr>
                        <w:t>文件</w:t>
                      </w:r>
                    </w:p>
                  </w:txbxContent>
                </v:textbox>
              </v:shape>
            </w:pict>
          </mc:Fallback>
        </mc:AlternateContent>
      </w:r>
      <w:r>
        <w:rPr>
          <w:rFonts w:hint="eastAsia" w:ascii="宋体"/>
          <w:b/>
          <w:color w:val="FF0000"/>
          <w:spacing w:val="2"/>
          <w:sz w:val="84"/>
          <w:szCs w:val="84"/>
        </w:rPr>
        <w:t>天津市财政局</w:t>
      </w:r>
    </w:p>
    <w:p>
      <w:pPr>
        <w:ind w:right="2244" w:rightChars="935"/>
        <w:jc w:val="distribute"/>
        <w:rPr>
          <w:rFonts w:hint="eastAsia" w:ascii="宋体"/>
          <w:b/>
          <w:color w:val="FF0000"/>
          <w:spacing w:val="2"/>
          <w:sz w:val="84"/>
          <w:szCs w:val="84"/>
        </w:rPr>
      </w:pPr>
      <w:r>
        <w:rPr>
          <w:rFonts w:hint="eastAsia" w:ascii="宋体"/>
          <w:b/>
          <w:color w:val="FF0000"/>
          <w:spacing w:val="2"/>
          <w:sz w:val="84"/>
          <w:szCs w:val="84"/>
        </w:rPr>
        <w:t>天津市民政局</w:t>
      </w:r>
    </w:p>
    <w:p>
      <w:pPr>
        <w:spacing w:line="600" w:lineRule="exact"/>
        <w:rPr>
          <w:rFonts w:hint="eastAsia" w:ascii="宋体"/>
          <w:b/>
          <w:color w:val="000000"/>
          <w:sz w:val="28"/>
        </w:rPr>
      </w:pPr>
    </w:p>
    <w:p>
      <w:pPr>
        <w:spacing w:line="600" w:lineRule="exact"/>
        <w:rPr>
          <w:rFonts w:ascii="宋体"/>
          <w:b/>
          <w:color w:val="000000"/>
          <w:sz w:val="28"/>
        </w:rPr>
      </w:pPr>
    </w:p>
    <w:p>
      <w:pPr>
        <w:spacing w:line="600" w:lineRule="exact"/>
        <w:jc w:val="center"/>
        <w:rPr>
          <w:rFonts w:hint="eastAsia" w:ascii="仿宋_GB2312" w:eastAsia="仿宋_GB2312"/>
          <w:color w:val="000000"/>
          <w:sz w:val="32"/>
          <w:szCs w:val="32"/>
        </w:rPr>
      </w:pPr>
      <w:r>
        <w:rPr>
          <w:rFonts w:hint="eastAsia" w:ascii="仿宋_GB2312" w:eastAsia="仿宋_GB2312"/>
          <w:color w:val="000000"/>
          <w:sz w:val="32"/>
          <w:szCs w:val="32"/>
        </w:rPr>
        <w:t>津财规</w:t>
      </w:r>
      <w:r>
        <w:rPr>
          <w:rFonts w:eastAsia="仿宋_GB2312"/>
          <w:color w:val="000000"/>
          <w:sz w:val="32"/>
          <w:szCs w:val="32"/>
        </w:rPr>
        <w:t>〔2018〕</w:t>
      </w:r>
      <w:r>
        <w:rPr>
          <w:rFonts w:hint="eastAsia" w:eastAsia="仿宋_GB2312"/>
          <w:color w:val="000000"/>
          <w:sz w:val="32"/>
          <w:szCs w:val="32"/>
        </w:rPr>
        <w:t>27</w:t>
      </w:r>
      <w:r>
        <w:rPr>
          <w:rFonts w:eastAsia="仿宋_GB2312"/>
          <w:color w:val="000000"/>
          <w:sz w:val="32"/>
          <w:szCs w:val="32"/>
        </w:rPr>
        <w:t>号</w:t>
      </w:r>
    </w:p>
    <w:p>
      <w:pPr>
        <w:jc w:val="center"/>
        <w:rPr>
          <w:rFonts w:hint="eastAsia" w:ascii="宋体"/>
          <w:color w:val="000000"/>
          <w:sz w:val="28"/>
        </w:rPr>
      </w:pPr>
      <w:r>
        <w:rPr>
          <w:rFonts w:hint="eastAsia" w:ascii="宋体"/>
          <w:color w:val="000000"/>
          <w:sz w:val="28"/>
        </w:rPr>
        <mc:AlternateContent>
          <mc:Choice Requires="wps">
            <w:drawing>
              <wp:anchor distT="0" distB="0" distL="114300" distR="114300" simplePos="0" relativeHeight="251659264" behindDoc="0" locked="0" layoutInCell="1" allowOverlap="1">
                <wp:simplePos x="0" y="0"/>
                <wp:positionH relativeFrom="column">
                  <wp:posOffset>6985</wp:posOffset>
                </wp:positionH>
                <wp:positionV relativeFrom="paragraph">
                  <wp:posOffset>92710</wp:posOffset>
                </wp:positionV>
                <wp:extent cx="5600700" cy="0"/>
                <wp:effectExtent l="0" t="13970" r="0" b="24130"/>
                <wp:wrapNone/>
                <wp:docPr id="1" name="直接连接符 1"/>
                <wp:cNvGraphicFramePr/>
                <a:graphic xmlns:a="http://schemas.openxmlformats.org/drawingml/2006/main">
                  <a:graphicData uri="http://schemas.microsoft.com/office/word/2010/wordprocessingShape">
                    <wps:wsp>
                      <wps:cNvSpPr/>
                      <wps:spPr>
                        <a:xfrm>
                          <a:off x="0" y="0"/>
                          <a:ext cx="5600700" cy="0"/>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55pt;margin-top:7.3pt;height:0pt;width:441pt;z-index:251659264;mso-width-relative:page;mso-height-relative:page;" filled="f" stroked="t" coordsize="21600,21600" o:gfxdata="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jIeUg9MAAAAHAQAADwAAAAAAAAABACAAAAAiAAAAZHJzL2Rvd25yZXYueG1sUEsBAhQA&#10;FAAAAAgAh07iQHDTjNH3AQAA5QMAAA4AAAAAAAAAAQAgAAAAIgEAAGRycy9lMm9Eb2MueG1sUEsF&#10;BgAAAAAGAAYAWQEAAIsFAAAAAA==&#10;">
                <v:fill on="f" focussize="0,0"/>
                <v:stroke weight="2.25pt" color="#FF0000" joinstyle="round"/>
                <v:imagedata o:title=""/>
                <o:lock v:ext="edit" aspectratio="f"/>
              </v:line>
            </w:pict>
          </mc:Fallback>
        </mc:AlternateContent>
      </w:r>
    </w:p>
    <w:p>
      <w:pPr>
        <w:jc w:val="center"/>
        <w:rPr>
          <w:rFonts w:hint="eastAsia" w:ascii="方正小标宋简体" w:hAnsi="宋体" w:eastAsia="方正小标宋简体"/>
          <w:sz w:val="44"/>
          <w:szCs w:val="44"/>
        </w:rPr>
      </w:pPr>
      <w:bookmarkStart w:id="0" w:name="_GoBack"/>
      <w:r>
        <w:rPr>
          <w:rFonts w:hint="eastAsia" w:ascii="方正小标宋简体" w:hAnsi="宋体" w:eastAsia="方正小标宋简体"/>
          <w:sz w:val="44"/>
          <w:szCs w:val="44"/>
        </w:rPr>
        <w:t>天津市财政局天津市民政局关于印发《天津市福利彩票公益金使用管理办法》的通知</w:t>
      </w:r>
    </w:p>
    <w:bookmarkEnd w:id="0"/>
    <w:p>
      <w:pPr>
        <w:rPr>
          <w:rFonts w:ascii="仿宋_GB2312" w:eastAsia="仿宋_GB2312"/>
          <w:sz w:val="32"/>
        </w:rPr>
      </w:pPr>
    </w:p>
    <w:p>
      <w:pPr>
        <w:spacing w:line="640" w:lineRule="exact"/>
        <w:rPr>
          <w:rFonts w:eastAsia="仿宋_GB2312"/>
          <w:sz w:val="32"/>
        </w:rPr>
      </w:pPr>
      <w:r>
        <w:rPr>
          <w:rFonts w:eastAsia="仿宋_GB2312"/>
          <w:sz w:val="32"/>
        </w:rPr>
        <w:t>各区财政局、民政局：</w:t>
      </w:r>
    </w:p>
    <w:p>
      <w:pPr>
        <w:spacing w:line="640" w:lineRule="exact"/>
        <w:ind w:firstLine="640" w:firstLineChars="200"/>
        <w:rPr>
          <w:rFonts w:eastAsia="仿宋_GB2312"/>
          <w:sz w:val="32"/>
          <w:szCs w:val="32"/>
        </w:rPr>
      </w:pPr>
      <w:r>
        <w:rPr>
          <w:rFonts w:eastAsia="仿宋_GB2312"/>
          <w:sz w:val="32"/>
          <w:szCs w:val="32"/>
        </w:rPr>
        <w:t>为进一步规范和加强天津市福利彩票公益金使用管理，提高资金使用效益，根据《彩票管理条例》《彩票管理条例实施细则》《彩票公益金管理办法》（财综〔2012〕15号）、《中央集中彩票公益金支持社会福利事业资金使用管理办法》（财社〔2017〕237号），以及预算资金管理有关规定，我们制定了《天津市福利彩票公益金使用管理办法》。现发给你们，请遵照执行。</w:t>
      </w:r>
    </w:p>
    <w:p>
      <w:pPr>
        <w:spacing w:line="640" w:lineRule="exact"/>
        <w:ind w:firstLine="640" w:firstLineChars="200"/>
        <w:rPr>
          <w:rFonts w:hint="eastAsia" w:eastAsia="仿宋_GB2312"/>
          <w:sz w:val="32"/>
          <w:szCs w:val="32"/>
        </w:rPr>
      </w:pPr>
    </w:p>
    <w:p>
      <w:pPr>
        <w:spacing w:line="640" w:lineRule="exact"/>
        <w:ind w:firstLine="640" w:firstLineChars="200"/>
        <w:rPr>
          <w:rFonts w:hint="eastAsia" w:eastAsia="仿宋_GB2312"/>
          <w:sz w:val="32"/>
          <w:szCs w:val="32"/>
        </w:rPr>
      </w:pPr>
    </w:p>
    <w:p>
      <w:pPr>
        <w:spacing w:line="640" w:lineRule="exact"/>
        <w:ind w:firstLine="640" w:firstLineChars="200"/>
        <w:rPr>
          <w:rFonts w:hint="eastAsia" w:eastAsia="仿宋_GB2312"/>
          <w:sz w:val="32"/>
          <w:szCs w:val="32"/>
        </w:rPr>
      </w:pPr>
    </w:p>
    <w:p>
      <w:pPr>
        <w:spacing w:line="640" w:lineRule="exact"/>
        <w:jc w:val="center"/>
        <w:rPr>
          <w:rFonts w:eastAsia="仿宋_GB2312"/>
          <w:sz w:val="32"/>
          <w:szCs w:val="32"/>
        </w:rPr>
      </w:pPr>
      <w:r>
        <w:rPr>
          <w:rFonts w:eastAsia="仿宋_GB2312"/>
          <w:sz w:val="32"/>
          <w:szCs w:val="32"/>
        </w:rPr>
        <w:t>天津市财政局          天津市民政局</w:t>
      </w:r>
    </w:p>
    <w:p>
      <w:pPr>
        <w:adjustRightInd/>
        <w:spacing w:line="600" w:lineRule="exact"/>
        <w:jc w:val="center"/>
        <w:textAlignment w:val="auto"/>
        <w:rPr>
          <w:rFonts w:eastAsia="方正小标宋简体"/>
          <w:kern w:val="2"/>
          <w:sz w:val="44"/>
          <w:szCs w:val="44"/>
        </w:rPr>
      </w:pPr>
      <w:r>
        <w:rPr>
          <w:rFonts w:hint="eastAsia" w:eastAsia="仿宋_GB2312"/>
          <w:sz w:val="32"/>
          <w:szCs w:val="32"/>
          <w:lang w:val="en-US" w:eastAsia="zh-CN"/>
        </w:rPr>
        <w:t xml:space="preserve">                       </w:t>
      </w:r>
      <w:r>
        <w:rPr>
          <w:rFonts w:eastAsia="仿宋_GB2312"/>
          <w:sz w:val="32"/>
          <w:szCs w:val="32"/>
        </w:rPr>
        <w:t>2018年1</w:t>
      </w:r>
      <w:r>
        <w:rPr>
          <w:rFonts w:hint="eastAsia" w:eastAsia="仿宋_GB2312"/>
          <w:sz w:val="32"/>
          <w:szCs w:val="32"/>
        </w:rPr>
        <w:t>2</w:t>
      </w:r>
      <w:r>
        <w:rPr>
          <w:rFonts w:eastAsia="仿宋_GB2312"/>
          <w:sz w:val="32"/>
          <w:szCs w:val="32"/>
        </w:rPr>
        <w:t>月</w:t>
      </w:r>
      <w:r>
        <w:rPr>
          <w:rFonts w:hint="eastAsia" w:eastAsia="仿宋_GB2312"/>
          <w:sz w:val="32"/>
          <w:szCs w:val="32"/>
        </w:rPr>
        <w:t>18</w:t>
      </w:r>
      <w:r>
        <w:rPr>
          <w:rFonts w:eastAsia="仿宋_GB2312"/>
          <w:sz w:val="32"/>
          <w:szCs w:val="32"/>
        </w:rPr>
        <w:t>日</w:t>
      </w:r>
    </w:p>
    <w:p>
      <w:pPr>
        <w:adjustRightInd/>
        <w:spacing w:line="600" w:lineRule="exact"/>
        <w:jc w:val="center"/>
        <w:textAlignment w:val="auto"/>
        <w:rPr>
          <w:rFonts w:eastAsia="方正小标宋简体"/>
          <w:kern w:val="2"/>
          <w:sz w:val="44"/>
          <w:szCs w:val="44"/>
        </w:rPr>
      </w:pPr>
    </w:p>
    <w:p>
      <w:pPr>
        <w:adjustRightInd/>
        <w:spacing w:line="600" w:lineRule="exact"/>
        <w:jc w:val="center"/>
        <w:textAlignment w:val="auto"/>
        <w:rPr>
          <w:rFonts w:eastAsia="方正小标宋简体"/>
          <w:kern w:val="2"/>
          <w:sz w:val="44"/>
          <w:szCs w:val="44"/>
        </w:rPr>
      </w:pPr>
    </w:p>
    <w:p>
      <w:pPr>
        <w:adjustRightInd/>
        <w:spacing w:line="600" w:lineRule="exact"/>
        <w:jc w:val="center"/>
        <w:textAlignment w:val="auto"/>
        <w:rPr>
          <w:rFonts w:eastAsia="方正小标宋简体"/>
          <w:kern w:val="2"/>
          <w:sz w:val="44"/>
          <w:szCs w:val="44"/>
        </w:rPr>
      </w:pPr>
    </w:p>
    <w:p>
      <w:pPr>
        <w:adjustRightInd/>
        <w:spacing w:line="600" w:lineRule="exact"/>
        <w:jc w:val="center"/>
        <w:textAlignment w:val="auto"/>
        <w:rPr>
          <w:rFonts w:eastAsia="方正小标宋简体"/>
          <w:kern w:val="2"/>
          <w:sz w:val="44"/>
          <w:szCs w:val="44"/>
        </w:rPr>
      </w:pPr>
    </w:p>
    <w:p>
      <w:pPr>
        <w:adjustRightInd/>
        <w:spacing w:line="600" w:lineRule="exact"/>
        <w:jc w:val="center"/>
        <w:textAlignment w:val="auto"/>
        <w:rPr>
          <w:rFonts w:eastAsia="方正小标宋简体"/>
          <w:kern w:val="2"/>
          <w:sz w:val="44"/>
          <w:szCs w:val="44"/>
        </w:rPr>
      </w:pPr>
    </w:p>
    <w:p>
      <w:pPr>
        <w:adjustRightInd/>
        <w:spacing w:line="600" w:lineRule="exact"/>
        <w:jc w:val="center"/>
        <w:textAlignment w:val="auto"/>
        <w:rPr>
          <w:rFonts w:eastAsia="方正小标宋简体"/>
          <w:kern w:val="2"/>
          <w:sz w:val="44"/>
          <w:szCs w:val="44"/>
        </w:rPr>
      </w:pPr>
    </w:p>
    <w:p>
      <w:pPr>
        <w:adjustRightInd/>
        <w:spacing w:line="600" w:lineRule="exact"/>
        <w:jc w:val="center"/>
        <w:textAlignment w:val="auto"/>
        <w:rPr>
          <w:rFonts w:eastAsia="方正小标宋简体"/>
          <w:kern w:val="2"/>
          <w:sz w:val="44"/>
          <w:szCs w:val="44"/>
        </w:rPr>
      </w:pPr>
    </w:p>
    <w:p>
      <w:pPr>
        <w:adjustRightInd/>
        <w:spacing w:line="600" w:lineRule="exact"/>
        <w:jc w:val="center"/>
        <w:textAlignment w:val="auto"/>
        <w:rPr>
          <w:rFonts w:eastAsia="方正小标宋简体"/>
          <w:kern w:val="2"/>
          <w:sz w:val="44"/>
          <w:szCs w:val="44"/>
        </w:rPr>
      </w:pPr>
    </w:p>
    <w:p>
      <w:pPr>
        <w:adjustRightInd/>
        <w:spacing w:line="600" w:lineRule="exact"/>
        <w:jc w:val="center"/>
        <w:textAlignment w:val="auto"/>
        <w:rPr>
          <w:rFonts w:eastAsia="方正小标宋简体"/>
          <w:kern w:val="2"/>
          <w:sz w:val="44"/>
          <w:szCs w:val="44"/>
        </w:rPr>
      </w:pPr>
    </w:p>
    <w:p>
      <w:pPr>
        <w:adjustRightInd/>
        <w:spacing w:line="600" w:lineRule="exact"/>
        <w:jc w:val="center"/>
        <w:textAlignment w:val="auto"/>
        <w:rPr>
          <w:rFonts w:eastAsia="方正小标宋简体"/>
          <w:kern w:val="2"/>
          <w:sz w:val="44"/>
          <w:szCs w:val="44"/>
        </w:rPr>
      </w:pPr>
    </w:p>
    <w:p>
      <w:pPr>
        <w:adjustRightInd/>
        <w:spacing w:line="600" w:lineRule="exact"/>
        <w:jc w:val="center"/>
        <w:textAlignment w:val="auto"/>
        <w:rPr>
          <w:rFonts w:eastAsia="方正小标宋简体"/>
          <w:kern w:val="2"/>
          <w:sz w:val="44"/>
          <w:szCs w:val="44"/>
        </w:rPr>
      </w:pPr>
    </w:p>
    <w:p>
      <w:pPr>
        <w:adjustRightInd/>
        <w:spacing w:line="600" w:lineRule="exact"/>
        <w:jc w:val="center"/>
        <w:textAlignment w:val="auto"/>
        <w:rPr>
          <w:rFonts w:eastAsia="方正小标宋简体"/>
          <w:kern w:val="2"/>
          <w:sz w:val="44"/>
          <w:szCs w:val="44"/>
        </w:rPr>
      </w:pPr>
    </w:p>
    <w:p>
      <w:pPr>
        <w:adjustRightInd/>
        <w:spacing w:line="600" w:lineRule="exact"/>
        <w:jc w:val="center"/>
        <w:textAlignment w:val="auto"/>
        <w:rPr>
          <w:rFonts w:eastAsia="方正小标宋简体"/>
          <w:kern w:val="2"/>
          <w:sz w:val="44"/>
          <w:szCs w:val="44"/>
        </w:rPr>
      </w:pPr>
    </w:p>
    <w:p>
      <w:pPr>
        <w:adjustRightInd/>
        <w:spacing w:line="600" w:lineRule="exact"/>
        <w:jc w:val="center"/>
        <w:textAlignment w:val="auto"/>
        <w:rPr>
          <w:rFonts w:eastAsia="方正小标宋简体"/>
          <w:kern w:val="2"/>
          <w:sz w:val="44"/>
          <w:szCs w:val="44"/>
        </w:rPr>
      </w:pPr>
    </w:p>
    <w:p>
      <w:pPr>
        <w:adjustRightInd/>
        <w:spacing w:line="600" w:lineRule="exact"/>
        <w:jc w:val="center"/>
        <w:textAlignment w:val="auto"/>
        <w:rPr>
          <w:rFonts w:eastAsia="方正小标宋简体"/>
          <w:kern w:val="2"/>
          <w:sz w:val="44"/>
          <w:szCs w:val="44"/>
        </w:rPr>
      </w:pPr>
    </w:p>
    <w:p>
      <w:pPr>
        <w:adjustRightInd/>
        <w:spacing w:line="600" w:lineRule="exact"/>
        <w:jc w:val="center"/>
        <w:textAlignment w:val="auto"/>
        <w:rPr>
          <w:rFonts w:eastAsia="方正小标宋简体"/>
          <w:kern w:val="2"/>
          <w:sz w:val="44"/>
          <w:szCs w:val="44"/>
        </w:rPr>
      </w:pPr>
    </w:p>
    <w:p>
      <w:pPr>
        <w:adjustRightInd/>
        <w:spacing w:line="600" w:lineRule="exact"/>
        <w:jc w:val="center"/>
        <w:textAlignment w:val="auto"/>
        <w:rPr>
          <w:rFonts w:eastAsia="方正小标宋简体"/>
          <w:kern w:val="2"/>
          <w:sz w:val="44"/>
          <w:szCs w:val="44"/>
        </w:rPr>
      </w:pPr>
      <w:r>
        <w:rPr>
          <w:rFonts w:eastAsia="方正小标宋简体"/>
          <w:kern w:val="2"/>
          <w:sz w:val="44"/>
          <w:szCs w:val="44"/>
        </w:rPr>
        <w:t>天津市福利彩票公益金使用管理办法</w:t>
      </w:r>
    </w:p>
    <w:p>
      <w:pPr>
        <w:adjustRightInd/>
        <w:spacing w:line="240" w:lineRule="auto"/>
        <w:jc w:val="both"/>
        <w:textAlignment w:val="auto"/>
        <w:rPr>
          <w:kern w:val="2"/>
          <w:sz w:val="28"/>
          <w:szCs w:val="28"/>
        </w:rPr>
      </w:pPr>
    </w:p>
    <w:p>
      <w:pPr>
        <w:adjustRightInd/>
        <w:spacing w:line="560" w:lineRule="exact"/>
        <w:jc w:val="center"/>
        <w:textAlignment w:val="auto"/>
        <w:rPr>
          <w:rFonts w:eastAsia="黑体"/>
          <w:kern w:val="2"/>
          <w:sz w:val="28"/>
          <w:szCs w:val="28"/>
        </w:rPr>
      </w:pPr>
      <w:r>
        <w:rPr>
          <w:rFonts w:hAnsi="黑体" w:eastAsia="黑体"/>
          <w:kern w:val="2"/>
          <w:sz w:val="28"/>
          <w:szCs w:val="28"/>
        </w:rPr>
        <w:t>第一章</w:t>
      </w:r>
      <w:r>
        <w:rPr>
          <w:rFonts w:eastAsia="黑体"/>
          <w:kern w:val="2"/>
          <w:sz w:val="28"/>
          <w:szCs w:val="28"/>
        </w:rPr>
        <w:t xml:space="preserve">  </w:t>
      </w:r>
      <w:r>
        <w:rPr>
          <w:rFonts w:hAnsi="黑体" w:eastAsia="黑体"/>
          <w:kern w:val="2"/>
          <w:sz w:val="28"/>
          <w:szCs w:val="28"/>
        </w:rPr>
        <w:t>总则</w:t>
      </w:r>
    </w:p>
    <w:p>
      <w:pPr>
        <w:adjustRightInd/>
        <w:spacing w:line="560" w:lineRule="exact"/>
        <w:ind w:firstLine="560" w:firstLineChars="200"/>
        <w:jc w:val="both"/>
        <w:textAlignment w:val="auto"/>
        <w:rPr>
          <w:rFonts w:eastAsia="仿宋_GB2312"/>
          <w:kern w:val="2"/>
          <w:sz w:val="28"/>
          <w:szCs w:val="28"/>
        </w:rPr>
      </w:pPr>
      <w:r>
        <w:rPr>
          <w:rFonts w:eastAsia="楷体_GB2312"/>
          <w:kern w:val="2"/>
          <w:sz w:val="28"/>
          <w:szCs w:val="28"/>
        </w:rPr>
        <w:t xml:space="preserve">第一条 </w:t>
      </w:r>
      <w:r>
        <w:rPr>
          <w:rFonts w:eastAsia="仿宋_GB2312"/>
          <w:kern w:val="2"/>
          <w:sz w:val="28"/>
          <w:szCs w:val="28"/>
        </w:rPr>
        <w:t>为进一步规范和加强天津市福利彩票公益金使用管理，提高资金使用效益，根据《彩票管理条例》《彩票管理条例实施细则》《彩票公益金管理办法》（财综〔2012〕15号）、《中央集中彩票公益金支持社会福利事业资金使用管理办法》（财社〔2017〕237号），以及预算资金管理有关规定制定本办法。</w:t>
      </w:r>
    </w:p>
    <w:p>
      <w:pPr>
        <w:adjustRightInd/>
        <w:spacing w:line="560" w:lineRule="exact"/>
        <w:ind w:firstLine="560" w:firstLineChars="200"/>
        <w:jc w:val="both"/>
        <w:textAlignment w:val="auto"/>
        <w:rPr>
          <w:rFonts w:eastAsia="仿宋_GB2312"/>
          <w:kern w:val="2"/>
          <w:sz w:val="28"/>
          <w:szCs w:val="28"/>
        </w:rPr>
      </w:pPr>
      <w:r>
        <w:rPr>
          <w:rFonts w:eastAsia="楷体_GB2312"/>
          <w:kern w:val="2"/>
          <w:sz w:val="28"/>
          <w:szCs w:val="28"/>
        </w:rPr>
        <w:t>第二条</w:t>
      </w:r>
      <w:r>
        <w:rPr>
          <w:rFonts w:eastAsia="仿宋_GB2312"/>
          <w:kern w:val="2"/>
          <w:sz w:val="28"/>
          <w:szCs w:val="28"/>
        </w:rPr>
        <w:t xml:space="preserve"> 本办法所称福利彩票公益金（以下简称福彩公益金）是指中央下达我市的支持社会福利事业的彩票公益金和按规定比例从我市福利彩票发行销售收入中提取的，专项用于社会福利等公益事业发展的资金。</w:t>
      </w:r>
    </w:p>
    <w:p>
      <w:pPr>
        <w:adjustRightInd/>
        <w:spacing w:line="560" w:lineRule="exact"/>
        <w:ind w:firstLine="560" w:firstLineChars="200"/>
        <w:jc w:val="both"/>
        <w:textAlignment w:val="auto"/>
        <w:rPr>
          <w:rFonts w:eastAsia="仿宋_GB2312"/>
          <w:kern w:val="2"/>
          <w:sz w:val="28"/>
          <w:szCs w:val="28"/>
        </w:rPr>
      </w:pPr>
      <w:r>
        <w:rPr>
          <w:rFonts w:eastAsia="楷体_GB2312"/>
          <w:kern w:val="2"/>
          <w:sz w:val="28"/>
          <w:szCs w:val="28"/>
        </w:rPr>
        <w:t>第三条</w:t>
      </w:r>
      <w:r>
        <w:rPr>
          <w:kern w:val="2"/>
          <w:sz w:val="28"/>
          <w:szCs w:val="28"/>
        </w:rPr>
        <w:t xml:space="preserve"> </w:t>
      </w:r>
      <w:r>
        <w:rPr>
          <w:rFonts w:eastAsia="仿宋_GB2312"/>
          <w:kern w:val="2"/>
          <w:sz w:val="28"/>
          <w:szCs w:val="28"/>
        </w:rPr>
        <w:t>福彩公益金纳入政府性基金预算，由财政、民政等业务主管部门按职责共同管理。财政部门负责审核民政等业务主管部门报送的预算编制建议、批复预算，会同民政等业务主管部门分配下达资金、对资金使用情况进行监督和绩效管理等。民政等业务主管部门负责按资金使用范围编制资金预算建议、预算资金执行、项目日常管理等。</w:t>
      </w:r>
    </w:p>
    <w:p>
      <w:pPr>
        <w:adjustRightInd/>
        <w:spacing w:line="560" w:lineRule="exact"/>
        <w:ind w:firstLine="560" w:firstLineChars="200"/>
        <w:jc w:val="both"/>
        <w:textAlignment w:val="auto"/>
        <w:rPr>
          <w:rFonts w:eastAsia="仿宋_GB2312"/>
          <w:kern w:val="2"/>
          <w:sz w:val="28"/>
          <w:szCs w:val="28"/>
        </w:rPr>
      </w:pPr>
      <w:r>
        <w:rPr>
          <w:rFonts w:eastAsia="楷体_GB2312"/>
          <w:kern w:val="2"/>
          <w:sz w:val="28"/>
          <w:szCs w:val="28"/>
        </w:rPr>
        <w:t>第四条</w:t>
      </w:r>
      <w:r>
        <w:rPr>
          <w:rFonts w:eastAsia="仿宋_GB2312"/>
          <w:kern w:val="2"/>
          <w:sz w:val="28"/>
          <w:szCs w:val="28"/>
        </w:rPr>
        <w:t xml:space="preserve"> 各级财政、民政部门应当加强福彩公益金与一般公共预算资金的衔接，统筹使用福彩公益金与一般公共预算资金。</w:t>
      </w:r>
    </w:p>
    <w:p>
      <w:pPr>
        <w:adjustRightInd/>
        <w:spacing w:line="560" w:lineRule="exact"/>
        <w:ind w:firstLine="560" w:firstLineChars="200"/>
        <w:jc w:val="both"/>
        <w:textAlignment w:val="auto"/>
        <w:rPr>
          <w:rFonts w:eastAsia="仿宋_GB2312"/>
          <w:kern w:val="2"/>
          <w:sz w:val="28"/>
          <w:szCs w:val="28"/>
        </w:rPr>
      </w:pPr>
      <w:r>
        <w:rPr>
          <w:rFonts w:eastAsia="楷体_GB2312"/>
          <w:kern w:val="2"/>
          <w:sz w:val="28"/>
          <w:szCs w:val="28"/>
        </w:rPr>
        <w:t>第五条</w:t>
      </w:r>
      <w:r>
        <w:rPr>
          <w:rFonts w:eastAsia="仿宋_GB2312"/>
          <w:kern w:val="2"/>
          <w:sz w:val="28"/>
          <w:szCs w:val="28"/>
        </w:rPr>
        <w:t xml:space="preserve"> 福彩公益金使用管理应当严格执行国家和我市法律法规和财务规章制度，接受财政、审计、民政等部门的监督和检查。</w:t>
      </w:r>
    </w:p>
    <w:p>
      <w:pPr>
        <w:adjustRightInd/>
        <w:spacing w:line="560" w:lineRule="exact"/>
        <w:jc w:val="both"/>
        <w:textAlignment w:val="auto"/>
        <w:rPr>
          <w:rFonts w:eastAsia="仿宋_GB2312"/>
          <w:kern w:val="2"/>
          <w:sz w:val="28"/>
          <w:szCs w:val="28"/>
        </w:rPr>
      </w:pPr>
    </w:p>
    <w:p>
      <w:pPr>
        <w:adjustRightInd/>
        <w:spacing w:line="560" w:lineRule="exact"/>
        <w:jc w:val="center"/>
        <w:textAlignment w:val="auto"/>
        <w:rPr>
          <w:rFonts w:eastAsia="黑体"/>
          <w:kern w:val="2"/>
          <w:sz w:val="28"/>
          <w:szCs w:val="28"/>
        </w:rPr>
      </w:pPr>
      <w:r>
        <w:rPr>
          <w:rFonts w:hAnsi="黑体" w:eastAsia="黑体"/>
          <w:kern w:val="2"/>
          <w:sz w:val="28"/>
          <w:szCs w:val="28"/>
        </w:rPr>
        <w:t>第二章</w:t>
      </w:r>
      <w:r>
        <w:rPr>
          <w:rFonts w:eastAsia="黑体"/>
          <w:kern w:val="2"/>
          <w:sz w:val="28"/>
          <w:szCs w:val="28"/>
        </w:rPr>
        <w:t xml:space="preserve"> </w:t>
      </w:r>
      <w:r>
        <w:rPr>
          <w:rFonts w:hAnsi="黑体" w:eastAsia="黑体"/>
          <w:kern w:val="2"/>
          <w:sz w:val="28"/>
          <w:szCs w:val="28"/>
        </w:rPr>
        <w:t>使用范围</w:t>
      </w:r>
    </w:p>
    <w:p>
      <w:pPr>
        <w:adjustRightInd/>
        <w:spacing w:line="560" w:lineRule="exact"/>
        <w:ind w:firstLine="560" w:firstLineChars="200"/>
        <w:jc w:val="both"/>
        <w:textAlignment w:val="auto"/>
        <w:rPr>
          <w:rFonts w:eastAsia="仿宋_GB2312"/>
          <w:kern w:val="2"/>
          <w:sz w:val="28"/>
          <w:szCs w:val="28"/>
        </w:rPr>
      </w:pPr>
      <w:r>
        <w:rPr>
          <w:rFonts w:eastAsia="楷体_GB2312"/>
          <w:kern w:val="2"/>
          <w:sz w:val="28"/>
          <w:szCs w:val="28"/>
        </w:rPr>
        <w:t>第六条</w:t>
      </w:r>
      <w:r>
        <w:rPr>
          <w:rFonts w:eastAsia="仿宋_GB2312"/>
          <w:kern w:val="2"/>
          <w:sz w:val="28"/>
          <w:szCs w:val="28"/>
        </w:rPr>
        <w:t xml:space="preserve"> 福彩公益金的使用应当遵循福利彩票“扶老、助残、救孤、济困”的发行宗旨，主要用于资助为老年人、残疾人、儿童等特殊困难群体提供公共服务的社会福利项目，以及符合宗旨的其他社会公益项目。</w:t>
      </w:r>
    </w:p>
    <w:p>
      <w:pPr>
        <w:adjustRightInd/>
        <w:spacing w:line="560" w:lineRule="exact"/>
        <w:ind w:firstLine="560" w:firstLineChars="200"/>
        <w:jc w:val="both"/>
        <w:textAlignment w:val="auto"/>
        <w:rPr>
          <w:rFonts w:eastAsia="仿宋_GB2312"/>
          <w:kern w:val="2"/>
          <w:sz w:val="28"/>
          <w:szCs w:val="28"/>
        </w:rPr>
      </w:pPr>
      <w:r>
        <w:rPr>
          <w:rFonts w:eastAsia="楷体_GB2312"/>
          <w:kern w:val="2"/>
          <w:sz w:val="28"/>
          <w:szCs w:val="28"/>
        </w:rPr>
        <w:t>第七条</w:t>
      </w:r>
      <w:r>
        <w:rPr>
          <w:rFonts w:eastAsia="仿宋_GB2312"/>
          <w:kern w:val="2"/>
          <w:sz w:val="28"/>
          <w:szCs w:val="28"/>
        </w:rPr>
        <w:t xml:space="preserve"> 福彩公益金用于老年人福利类项目预算总额不得低于彩票公益金总额的50%。重大政策调整涉及彩票公益金分配比例的，按照相关规定执行。</w:t>
      </w:r>
    </w:p>
    <w:p>
      <w:pPr>
        <w:adjustRightInd/>
        <w:spacing w:line="560" w:lineRule="exact"/>
        <w:ind w:firstLine="560" w:firstLineChars="200"/>
        <w:jc w:val="both"/>
        <w:textAlignment w:val="auto"/>
        <w:rPr>
          <w:rFonts w:eastAsia="仿宋_GB2312"/>
          <w:kern w:val="2"/>
          <w:sz w:val="28"/>
          <w:szCs w:val="28"/>
        </w:rPr>
      </w:pPr>
      <w:r>
        <w:rPr>
          <w:rFonts w:eastAsia="楷体_GB2312"/>
          <w:kern w:val="2"/>
          <w:sz w:val="28"/>
          <w:szCs w:val="28"/>
        </w:rPr>
        <w:t xml:space="preserve">第八条 </w:t>
      </w:r>
      <w:r>
        <w:rPr>
          <w:rFonts w:eastAsia="仿宋_GB2312"/>
          <w:kern w:val="2"/>
          <w:sz w:val="28"/>
          <w:szCs w:val="28"/>
        </w:rPr>
        <w:t>福彩公益金的使用应当严格按照有关规定，严禁虚报套取、挤占挪用，不得用于因公出国（境）费、公务接待费、公务用车购置及运行费、行政事业单位的基本支出、营利活动以及其他不符合规定用途的支出。</w:t>
      </w:r>
    </w:p>
    <w:p>
      <w:pPr>
        <w:adjustRightInd/>
        <w:spacing w:line="560" w:lineRule="exact"/>
        <w:jc w:val="both"/>
        <w:textAlignment w:val="auto"/>
        <w:rPr>
          <w:rFonts w:eastAsia="仿宋_GB2312"/>
          <w:kern w:val="2"/>
          <w:sz w:val="28"/>
          <w:szCs w:val="28"/>
        </w:rPr>
      </w:pPr>
    </w:p>
    <w:p>
      <w:pPr>
        <w:adjustRightInd/>
        <w:spacing w:line="560" w:lineRule="exact"/>
        <w:jc w:val="center"/>
        <w:textAlignment w:val="auto"/>
        <w:rPr>
          <w:rFonts w:eastAsia="黑体"/>
          <w:kern w:val="2"/>
          <w:sz w:val="28"/>
          <w:szCs w:val="28"/>
        </w:rPr>
      </w:pPr>
      <w:r>
        <w:rPr>
          <w:rFonts w:hAnsi="黑体" w:eastAsia="黑体"/>
          <w:kern w:val="2"/>
          <w:sz w:val="28"/>
          <w:szCs w:val="28"/>
        </w:rPr>
        <w:t>第三章</w:t>
      </w:r>
      <w:r>
        <w:rPr>
          <w:rFonts w:eastAsia="黑体"/>
          <w:kern w:val="2"/>
          <w:sz w:val="28"/>
          <w:szCs w:val="28"/>
        </w:rPr>
        <w:t xml:space="preserve"> </w:t>
      </w:r>
      <w:r>
        <w:rPr>
          <w:rFonts w:hAnsi="黑体" w:eastAsia="黑体"/>
          <w:kern w:val="2"/>
          <w:sz w:val="28"/>
          <w:szCs w:val="28"/>
        </w:rPr>
        <w:t>分配和使用管理</w:t>
      </w:r>
    </w:p>
    <w:p>
      <w:pPr>
        <w:adjustRightInd/>
        <w:spacing w:line="560" w:lineRule="exact"/>
        <w:ind w:firstLine="560" w:firstLineChars="200"/>
        <w:jc w:val="both"/>
        <w:textAlignment w:val="auto"/>
        <w:rPr>
          <w:rFonts w:eastAsia="仿宋_GB2312"/>
          <w:kern w:val="2"/>
          <w:sz w:val="28"/>
          <w:szCs w:val="28"/>
        </w:rPr>
      </w:pPr>
      <w:r>
        <w:rPr>
          <w:rFonts w:eastAsia="楷体_GB2312"/>
          <w:kern w:val="2"/>
          <w:sz w:val="28"/>
          <w:szCs w:val="28"/>
        </w:rPr>
        <w:t>第九条</w:t>
      </w:r>
      <w:r>
        <w:rPr>
          <w:rFonts w:eastAsia="仿宋_GB2312"/>
          <w:kern w:val="2"/>
          <w:sz w:val="28"/>
          <w:szCs w:val="28"/>
        </w:rPr>
        <w:t xml:space="preserve"> 福彩公益金预算分为市级业务主管部门项目支出预算和补助各区项目支出预算两部分，预算的编制、报送和审批分别执行部门预算和转移支付预算管理相关规定。</w:t>
      </w:r>
    </w:p>
    <w:p>
      <w:pPr>
        <w:adjustRightInd/>
        <w:spacing w:line="560" w:lineRule="exact"/>
        <w:ind w:firstLine="560" w:firstLineChars="200"/>
        <w:jc w:val="both"/>
        <w:textAlignment w:val="auto"/>
        <w:rPr>
          <w:rFonts w:eastAsia="仿宋_GB2312"/>
          <w:kern w:val="2"/>
          <w:sz w:val="28"/>
          <w:szCs w:val="28"/>
        </w:rPr>
      </w:pPr>
      <w:r>
        <w:rPr>
          <w:rFonts w:eastAsia="楷体_GB2312"/>
          <w:kern w:val="2"/>
          <w:sz w:val="28"/>
          <w:szCs w:val="28"/>
        </w:rPr>
        <w:t>第十条</w:t>
      </w:r>
      <w:r>
        <w:rPr>
          <w:rFonts w:eastAsia="仿宋_GB2312"/>
          <w:kern w:val="2"/>
          <w:sz w:val="28"/>
          <w:szCs w:val="28"/>
        </w:rPr>
        <w:t xml:space="preserve"> 市级业务主管部门应建立项目库，纳入项目库的项目原则上均应当通过评审，项目立项和预算申报、绩效管理应当严格执行部门预算管理有关规定。</w:t>
      </w:r>
    </w:p>
    <w:p>
      <w:pPr>
        <w:adjustRightInd/>
        <w:spacing w:line="560" w:lineRule="exact"/>
        <w:ind w:firstLine="560" w:firstLineChars="200"/>
        <w:jc w:val="both"/>
        <w:textAlignment w:val="auto"/>
        <w:rPr>
          <w:rFonts w:eastAsia="仿宋_GB2312"/>
          <w:kern w:val="2"/>
          <w:sz w:val="28"/>
          <w:szCs w:val="28"/>
        </w:rPr>
      </w:pPr>
      <w:r>
        <w:rPr>
          <w:rFonts w:eastAsia="楷体_GB2312"/>
          <w:kern w:val="2"/>
          <w:sz w:val="28"/>
          <w:szCs w:val="28"/>
        </w:rPr>
        <w:t>第十一条</w:t>
      </w:r>
      <w:r>
        <w:rPr>
          <w:rFonts w:eastAsia="仿宋_GB2312"/>
          <w:kern w:val="2"/>
          <w:sz w:val="28"/>
          <w:szCs w:val="28"/>
        </w:rPr>
        <w:t xml:space="preserve"> 补助各区项目资金分配方法以项目法和因素法为主。</w:t>
      </w:r>
    </w:p>
    <w:p>
      <w:pPr>
        <w:adjustRightInd/>
        <w:spacing w:line="560" w:lineRule="exact"/>
        <w:ind w:firstLine="560" w:firstLineChars="200"/>
        <w:jc w:val="both"/>
        <w:textAlignment w:val="auto"/>
        <w:rPr>
          <w:rFonts w:eastAsia="仿宋_GB2312"/>
          <w:sz w:val="28"/>
          <w:szCs w:val="28"/>
        </w:rPr>
      </w:pPr>
      <w:r>
        <w:rPr>
          <w:rFonts w:eastAsia="仿宋_GB2312"/>
          <w:sz w:val="28"/>
          <w:szCs w:val="28"/>
        </w:rPr>
        <w:t>项目法分配资金，按有关标准和比例，由市级业务主管部门提出资金分配意见，经市财政局审核后下达各区。养老服务类项目补助资金由各区统筹用于居家、社区、机构养老服务发展。</w:t>
      </w:r>
    </w:p>
    <w:p>
      <w:pPr>
        <w:adjustRightInd/>
        <w:spacing w:line="560" w:lineRule="exact"/>
        <w:ind w:firstLine="560" w:firstLineChars="200"/>
        <w:jc w:val="both"/>
        <w:textAlignment w:val="auto"/>
        <w:rPr>
          <w:rFonts w:eastAsia="仿宋_GB2312"/>
          <w:kern w:val="2"/>
          <w:sz w:val="28"/>
          <w:szCs w:val="28"/>
        </w:rPr>
      </w:pPr>
      <w:r>
        <w:rPr>
          <w:rFonts w:eastAsia="仿宋_GB2312"/>
          <w:sz w:val="28"/>
          <w:szCs w:val="28"/>
        </w:rPr>
        <w:t>因素法分配资金，由市级业务主管部门商市财政局确定资金分配原则，并提出分区建议数，经市财政局审核后下达各区。因素主要选取人口、区域、财力状况、相关机构数量、工作绩效等因素。不同项目资金分配可根据实际情况确定具体分配因素，并明确相应的权重。</w:t>
      </w:r>
    </w:p>
    <w:p>
      <w:pPr>
        <w:adjustRightInd/>
        <w:spacing w:line="560" w:lineRule="exact"/>
        <w:ind w:firstLine="560" w:firstLineChars="200"/>
        <w:jc w:val="both"/>
        <w:textAlignment w:val="auto"/>
        <w:rPr>
          <w:rFonts w:eastAsia="仿宋_GB2312"/>
          <w:kern w:val="2"/>
          <w:sz w:val="28"/>
          <w:szCs w:val="28"/>
        </w:rPr>
      </w:pPr>
      <w:r>
        <w:rPr>
          <w:rFonts w:eastAsia="楷体_GB2312"/>
          <w:sz w:val="28"/>
          <w:szCs w:val="28"/>
        </w:rPr>
        <w:t>第十二条</w:t>
      </w:r>
      <w:r>
        <w:rPr>
          <w:rFonts w:eastAsia="仿宋_GB2312"/>
          <w:sz w:val="28"/>
          <w:szCs w:val="28"/>
        </w:rPr>
        <w:t xml:space="preserve"> 补助各区项目资金下达后，各区业务主管部门应按照项目管理相关要求，结合本地工作实际，及时提出资金使用方案，经同级财政部门审核后拨付资金。</w:t>
      </w:r>
    </w:p>
    <w:p>
      <w:pPr>
        <w:adjustRightInd/>
        <w:spacing w:line="560" w:lineRule="exact"/>
        <w:ind w:firstLine="560" w:firstLineChars="200"/>
        <w:jc w:val="both"/>
        <w:textAlignment w:val="auto"/>
        <w:rPr>
          <w:rFonts w:eastAsia="仿宋_GB2312"/>
          <w:sz w:val="28"/>
          <w:szCs w:val="28"/>
        </w:rPr>
      </w:pPr>
      <w:r>
        <w:rPr>
          <w:rFonts w:eastAsia="楷体_GB2312"/>
          <w:sz w:val="28"/>
          <w:szCs w:val="28"/>
        </w:rPr>
        <w:t>第十三条</w:t>
      </w:r>
      <w:r>
        <w:rPr>
          <w:rFonts w:eastAsia="仿宋_GB2312"/>
          <w:sz w:val="28"/>
          <w:szCs w:val="28"/>
        </w:rPr>
        <w:t xml:space="preserve"> 市区业务主管部门要严格按照财政部门批复的预算执行，不得擅自调整预算，不得截留、挤占、挪用资金。在预算执行过程中，如发生项目变更、终止，确需调整预算的，应当按照有关规定和程序进行审批。</w:t>
      </w:r>
    </w:p>
    <w:p>
      <w:pPr>
        <w:adjustRightInd/>
        <w:spacing w:line="560" w:lineRule="exact"/>
        <w:ind w:firstLine="560" w:firstLineChars="200"/>
        <w:jc w:val="both"/>
        <w:textAlignment w:val="auto"/>
        <w:rPr>
          <w:rFonts w:eastAsia="仿宋_GB2312"/>
          <w:kern w:val="2"/>
          <w:sz w:val="28"/>
          <w:szCs w:val="28"/>
        </w:rPr>
      </w:pPr>
      <w:r>
        <w:rPr>
          <w:rFonts w:eastAsia="仿宋_GB2312"/>
          <w:sz w:val="28"/>
          <w:szCs w:val="28"/>
        </w:rPr>
        <w:t>市区业务主管部门、福彩公益金使用单位要加强项目资金管理，加快预算执行进度，强化项目结项管理。</w:t>
      </w:r>
    </w:p>
    <w:p>
      <w:pPr>
        <w:adjustRightInd/>
        <w:spacing w:line="560" w:lineRule="exact"/>
        <w:ind w:firstLine="560" w:firstLineChars="200"/>
        <w:jc w:val="both"/>
        <w:textAlignment w:val="auto"/>
        <w:rPr>
          <w:rFonts w:eastAsia="仿宋_GB2312"/>
          <w:kern w:val="2"/>
          <w:sz w:val="28"/>
          <w:szCs w:val="28"/>
        </w:rPr>
      </w:pPr>
      <w:r>
        <w:rPr>
          <w:rFonts w:eastAsia="楷体_GB2312"/>
          <w:sz w:val="28"/>
          <w:szCs w:val="28"/>
        </w:rPr>
        <w:t>第十四条</w:t>
      </w:r>
      <w:r>
        <w:rPr>
          <w:rFonts w:eastAsia="仿宋_GB2312"/>
          <w:sz w:val="28"/>
          <w:szCs w:val="28"/>
        </w:rPr>
        <w:t xml:space="preserve"> 福彩公益金的支付，按照国库集中支付制度有关规定执行。</w:t>
      </w:r>
    </w:p>
    <w:p>
      <w:pPr>
        <w:adjustRightInd/>
        <w:spacing w:line="560" w:lineRule="exact"/>
        <w:ind w:firstLine="560" w:firstLineChars="200"/>
        <w:jc w:val="both"/>
        <w:textAlignment w:val="auto"/>
        <w:rPr>
          <w:rFonts w:eastAsia="仿宋_GB2312"/>
          <w:kern w:val="2"/>
          <w:sz w:val="28"/>
          <w:szCs w:val="28"/>
        </w:rPr>
      </w:pPr>
      <w:r>
        <w:rPr>
          <w:rFonts w:eastAsia="楷体_GB2312"/>
          <w:sz w:val="28"/>
          <w:szCs w:val="28"/>
        </w:rPr>
        <w:t>第十五条</w:t>
      </w:r>
      <w:r>
        <w:rPr>
          <w:rFonts w:eastAsia="仿宋_GB2312"/>
          <w:sz w:val="28"/>
          <w:szCs w:val="28"/>
        </w:rPr>
        <w:t xml:space="preserve"> 福彩公益金结转结余资金的使用和管理，按照国家和我市有关结转结余资金的使用和管理办法执行。</w:t>
      </w:r>
    </w:p>
    <w:p>
      <w:pPr>
        <w:adjustRightInd/>
        <w:spacing w:line="560" w:lineRule="exact"/>
        <w:ind w:firstLine="560" w:firstLineChars="200"/>
        <w:jc w:val="both"/>
        <w:textAlignment w:val="auto"/>
        <w:rPr>
          <w:rFonts w:eastAsia="仿宋_GB2312"/>
          <w:sz w:val="28"/>
          <w:szCs w:val="28"/>
        </w:rPr>
      </w:pPr>
      <w:r>
        <w:rPr>
          <w:rFonts w:eastAsia="楷体_GB2312"/>
          <w:sz w:val="28"/>
          <w:szCs w:val="28"/>
        </w:rPr>
        <w:t>第十六条</w:t>
      </w:r>
      <w:r>
        <w:rPr>
          <w:rFonts w:eastAsia="仿宋_GB2312"/>
          <w:sz w:val="28"/>
          <w:szCs w:val="28"/>
        </w:rPr>
        <w:t xml:space="preserve"> 福彩公益金使用时，</w:t>
      </w:r>
      <w:r>
        <w:rPr>
          <w:rFonts w:eastAsia="仿宋_GB2312"/>
          <w:kern w:val="2"/>
          <w:sz w:val="28"/>
          <w:szCs w:val="28"/>
        </w:rPr>
        <w:t>涉及政府采购和项目审批的，须严格按照相关规定执行。</w:t>
      </w:r>
    </w:p>
    <w:p>
      <w:pPr>
        <w:adjustRightInd/>
        <w:spacing w:line="560" w:lineRule="exact"/>
        <w:jc w:val="both"/>
        <w:textAlignment w:val="auto"/>
        <w:rPr>
          <w:rFonts w:eastAsia="仿宋_GB2312"/>
          <w:kern w:val="2"/>
          <w:sz w:val="28"/>
          <w:szCs w:val="28"/>
        </w:rPr>
      </w:pPr>
    </w:p>
    <w:p>
      <w:pPr>
        <w:adjustRightInd/>
        <w:spacing w:line="560" w:lineRule="exact"/>
        <w:jc w:val="center"/>
        <w:textAlignment w:val="auto"/>
        <w:rPr>
          <w:rFonts w:eastAsia="黑体"/>
          <w:sz w:val="28"/>
          <w:szCs w:val="28"/>
        </w:rPr>
      </w:pPr>
      <w:r>
        <w:rPr>
          <w:rFonts w:hAnsi="黑体" w:eastAsia="黑体"/>
          <w:sz w:val="28"/>
          <w:szCs w:val="28"/>
        </w:rPr>
        <w:t>第四章</w:t>
      </w:r>
      <w:r>
        <w:rPr>
          <w:rFonts w:eastAsia="黑体"/>
          <w:sz w:val="28"/>
          <w:szCs w:val="28"/>
        </w:rPr>
        <w:t xml:space="preserve"> </w:t>
      </w:r>
      <w:r>
        <w:rPr>
          <w:rFonts w:hAnsi="黑体" w:eastAsia="黑体"/>
          <w:sz w:val="28"/>
          <w:szCs w:val="28"/>
        </w:rPr>
        <w:t>信息公开</w:t>
      </w:r>
    </w:p>
    <w:p>
      <w:pPr>
        <w:adjustRightInd/>
        <w:spacing w:line="560" w:lineRule="exact"/>
        <w:ind w:firstLine="560" w:firstLineChars="200"/>
        <w:jc w:val="both"/>
        <w:textAlignment w:val="auto"/>
        <w:rPr>
          <w:rFonts w:eastAsia="仿宋_GB2312"/>
          <w:kern w:val="2"/>
          <w:sz w:val="28"/>
          <w:szCs w:val="28"/>
        </w:rPr>
      </w:pPr>
      <w:r>
        <w:rPr>
          <w:rFonts w:eastAsia="楷体_GB2312"/>
          <w:sz w:val="28"/>
          <w:szCs w:val="28"/>
        </w:rPr>
        <w:t>第十七条</w:t>
      </w:r>
      <w:r>
        <w:rPr>
          <w:rFonts w:eastAsia="仿宋_GB2312"/>
          <w:sz w:val="28"/>
          <w:szCs w:val="28"/>
        </w:rPr>
        <w:t xml:space="preserve"> 市区业务主管部门、福彩公益金使用单位应当根据有关规定，公开福彩公益金使用规模、资助项目、执行情况和实际效果等相关信息，接受社会监督。</w:t>
      </w:r>
    </w:p>
    <w:p>
      <w:pPr>
        <w:adjustRightInd/>
        <w:spacing w:line="560" w:lineRule="exact"/>
        <w:ind w:firstLine="560" w:firstLineChars="200"/>
        <w:jc w:val="both"/>
        <w:textAlignment w:val="auto"/>
        <w:rPr>
          <w:rFonts w:eastAsia="仿宋_GB2312"/>
          <w:kern w:val="2"/>
          <w:sz w:val="28"/>
          <w:szCs w:val="28"/>
        </w:rPr>
      </w:pPr>
      <w:r>
        <w:rPr>
          <w:rFonts w:eastAsia="楷体_GB2312"/>
          <w:sz w:val="28"/>
          <w:szCs w:val="28"/>
        </w:rPr>
        <w:t>第十八条</w:t>
      </w:r>
      <w:r>
        <w:rPr>
          <w:rFonts w:eastAsia="仿宋_GB2312"/>
          <w:sz w:val="28"/>
          <w:szCs w:val="28"/>
        </w:rPr>
        <w:t xml:space="preserve"> 每年2月底前，市区业务主管部门应当向同级财政部门、区级业务主管部门应当向市级业务主管部门报送上年度福彩公益金使用情况。具体包括资助项目、使用规模、执行情况和实际效果等情况。市区业务主管部门按规定做好资金公开公示工作。</w:t>
      </w:r>
    </w:p>
    <w:p>
      <w:pPr>
        <w:adjustRightInd/>
        <w:spacing w:line="560" w:lineRule="exact"/>
        <w:ind w:firstLine="560" w:firstLineChars="200"/>
        <w:jc w:val="both"/>
        <w:textAlignment w:val="auto"/>
        <w:rPr>
          <w:rFonts w:eastAsia="仿宋_GB2312"/>
          <w:sz w:val="28"/>
          <w:szCs w:val="28"/>
        </w:rPr>
      </w:pPr>
      <w:r>
        <w:rPr>
          <w:rFonts w:eastAsia="楷体_GB2312"/>
          <w:sz w:val="28"/>
          <w:szCs w:val="28"/>
        </w:rPr>
        <w:t>第十九条</w:t>
      </w:r>
      <w:r>
        <w:rPr>
          <w:rFonts w:eastAsia="仿宋_GB2312"/>
          <w:sz w:val="28"/>
          <w:szCs w:val="28"/>
        </w:rPr>
        <w:t xml:space="preserve"> 各级业务主管部门、福彩公益金使用单位应当按照有关规定设立、使用和管理福彩公益金资助标识。</w:t>
      </w:r>
    </w:p>
    <w:p>
      <w:pPr>
        <w:adjustRightInd/>
        <w:spacing w:line="560" w:lineRule="exact"/>
        <w:jc w:val="both"/>
        <w:textAlignment w:val="auto"/>
        <w:rPr>
          <w:rFonts w:eastAsia="仿宋_GB2312"/>
          <w:kern w:val="2"/>
          <w:sz w:val="28"/>
          <w:szCs w:val="28"/>
        </w:rPr>
      </w:pPr>
    </w:p>
    <w:p>
      <w:pPr>
        <w:adjustRightInd/>
        <w:spacing w:line="560" w:lineRule="exact"/>
        <w:jc w:val="center"/>
        <w:textAlignment w:val="auto"/>
        <w:rPr>
          <w:rFonts w:eastAsia="黑体"/>
          <w:sz w:val="28"/>
          <w:szCs w:val="28"/>
        </w:rPr>
      </w:pPr>
      <w:r>
        <w:rPr>
          <w:rFonts w:hAnsi="黑体" w:eastAsia="黑体"/>
          <w:sz w:val="28"/>
          <w:szCs w:val="28"/>
        </w:rPr>
        <w:t>第五章</w:t>
      </w:r>
      <w:r>
        <w:rPr>
          <w:rFonts w:eastAsia="黑体"/>
          <w:sz w:val="28"/>
          <w:szCs w:val="28"/>
        </w:rPr>
        <w:t xml:space="preserve"> </w:t>
      </w:r>
      <w:r>
        <w:rPr>
          <w:rFonts w:hAnsi="黑体" w:eastAsia="黑体"/>
          <w:sz w:val="28"/>
          <w:szCs w:val="28"/>
        </w:rPr>
        <w:t>绩效管理与监督检查</w:t>
      </w:r>
    </w:p>
    <w:p>
      <w:pPr>
        <w:adjustRightInd/>
        <w:spacing w:line="560" w:lineRule="exact"/>
        <w:ind w:firstLine="560" w:firstLineChars="200"/>
        <w:jc w:val="both"/>
        <w:textAlignment w:val="auto"/>
        <w:rPr>
          <w:rFonts w:eastAsia="仿宋_GB2312"/>
          <w:sz w:val="28"/>
          <w:szCs w:val="28"/>
        </w:rPr>
      </w:pPr>
      <w:r>
        <w:rPr>
          <w:rFonts w:eastAsia="楷体_GB2312"/>
          <w:sz w:val="28"/>
          <w:szCs w:val="28"/>
        </w:rPr>
        <w:t>第二十条</w:t>
      </w:r>
      <w:r>
        <w:rPr>
          <w:rFonts w:eastAsia="仿宋_GB2312"/>
          <w:sz w:val="28"/>
          <w:szCs w:val="28"/>
        </w:rPr>
        <w:t xml:space="preserve"> 市区业务主管部门、财政部门应当根据预算绩效管理相关要求，实施对福彩公益金的全过程预算绩效管理。所有市级业务主管部门项目均应当按规定编制绩效目标，未按要求编制绩效目标的项目不得纳入项目库。</w:t>
      </w:r>
    </w:p>
    <w:p>
      <w:pPr>
        <w:adjustRightInd/>
        <w:spacing w:line="560" w:lineRule="exact"/>
        <w:ind w:firstLine="560" w:firstLineChars="200"/>
        <w:jc w:val="both"/>
        <w:textAlignment w:val="auto"/>
        <w:rPr>
          <w:rFonts w:eastAsia="仿宋_GB2312"/>
          <w:sz w:val="28"/>
          <w:szCs w:val="28"/>
        </w:rPr>
      </w:pPr>
      <w:r>
        <w:rPr>
          <w:rFonts w:eastAsia="仿宋_GB2312"/>
          <w:sz w:val="28"/>
          <w:szCs w:val="28"/>
        </w:rPr>
        <w:t>补助各区项目，各区要按规定编制具体项目绩效目标，在收到市级补助资金60日内，将本区绩效目标报市级业务主管部门、财政部门备案。市财政、业务主管部门对下分配资金时同步下达分区或分项目绩效目标。</w:t>
      </w:r>
    </w:p>
    <w:p>
      <w:pPr>
        <w:adjustRightInd/>
        <w:spacing w:line="560" w:lineRule="exact"/>
        <w:ind w:firstLine="560" w:firstLineChars="200"/>
        <w:jc w:val="both"/>
        <w:textAlignment w:val="auto"/>
        <w:rPr>
          <w:rFonts w:eastAsia="仿宋_GB2312"/>
          <w:kern w:val="2"/>
          <w:sz w:val="28"/>
          <w:szCs w:val="28"/>
        </w:rPr>
      </w:pPr>
      <w:r>
        <w:rPr>
          <w:rFonts w:eastAsia="仿宋_GB2312"/>
          <w:sz w:val="28"/>
          <w:szCs w:val="28"/>
        </w:rPr>
        <w:t>市区业务主管部门、财政部门应当在预算执行中开展绩效目标执行监控，项目实施单位按季度将绩效目标执行情况报业务主管部门，业务主管部门汇总审核后报同级财政部门；在年度执行结束后，按要求组织开展绩效评价。绩效评价结果作为下一年度调整政策、改进管理、分配预算的参考和重要依据。</w:t>
      </w:r>
    </w:p>
    <w:p>
      <w:pPr>
        <w:adjustRightInd/>
        <w:spacing w:line="560" w:lineRule="exact"/>
        <w:ind w:firstLine="560" w:firstLineChars="200"/>
        <w:jc w:val="both"/>
        <w:textAlignment w:val="auto"/>
        <w:rPr>
          <w:rFonts w:eastAsia="仿宋_GB2312"/>
          <w:kern w:val="2"/>
          <w:sz w:val="28"/>
          <w:szCs w:val="28"/>
        </w:rPr>
      </w:pPr>
      <w:r>
        <w:rPr>
          <w:rFonts w:eastAsia="楷体_GB2312"/>
          <w:sz w:val="28"/>
          <w:szCs w:val="28"/>
        </w:rPr>
        <w:t>第二十一条</w:t>
      </w:r>
      <w:r>
        <w:rPr>
          <w:rFonts w:eastAsia="仿宋_GB2312"/>
          <w:sz w:val="28"/>
          <w:szCs w:val="28"/>
        </w:rPr>
        <w:t xml:space="preserve"> 市区财政、业务主管部门应当加强福彩公益金项目资金管理使用的监督检查，确保资金专款专用。</w:t>
      </w:r>
    </w:p>
    <w:p>
      <w:pPr>
        <w:adjustRightInd/>
        <w:spacing w:line="560" w:lineRule="exact"/>
        <w:ind w:firstLine="560" w:firstLineChars="200"/>
        <w:jc w:val="both"/>
        <w:textAlignment w:val="auto"/>
        <w:rPr>
          <w:rFonts w:eastAsia="仿宋_GB2312"/>
          <w:kern w:val="2"/>
          <w:sz w:val="28"/>
          <w:szCs w:val="28"/>
        </w:rPr>
      </w:pPr>
      <w:r>
        <w:rPr>
          <w:rFonts w:eastAsia="楷体_GB2312"/>
          <w:sz w:val="28"/>
          <w:szCs w:val="28"/>
        </w:rPr>
        <w:t>第二十二</w:t>
      </w:r>
      <w:r>
        <w:rPr>
          <w:rFonts w:eastAsia="仿宋_GB2312"/>
          <w:sz w:val="28"/>
          <w:szCs w:val="28"/>
        </w:rPr>
        <w:t>条 市民政局等业务主管部门可以会同市财政局结合实际选取一定数量的项目和转移支付各区项目，委托第三方审计机构开展审计和绩效评价。</w:t>
      </w:r>
    </w:p>
    <w:p>
      <w:pPr>
        <w:adjustRightInd/>
        <w:spacing w:line="560" w:lineRule="exact"/>
        <w:ind w:firstLine="560" w:firstLineChars="200"/>
        <w:jc w:val="both"/>
        <w:textAlignment w:val="auto"/>
        <w:rPr>
          <w:rFonts w:eastAsia="仿宋_GB2312"/>
          <w:kern w:val="2"/>
          <w:sz w:val="28"/>
          <w:szCs w:val="28"/>
        </w:rPr>
      </w:pPr>
      <w:r>
        <w:rPr>
          <w:rFonts w:eastAsia="楷体_GB2312"/>
          <w:sz w:val="28"/>
          <w:szCs w:val="28"/>
        </w:rPr>
        <w:t>第二十三条</w:t>
      </w:r>
      <w:r>
        <w:rPr>
          <w:rFonts w:eastAsia="仿宋_GB2312"/>
          <w:kern w:val="2"/>
          <w:sz w:val="28"/>
          <w:szCs w:val="28"/>
        </w:rPr>
        <w:t xml:space="preserve"> 各级财政部门、业务主管部门及其工作人员在福彩公益金的分配审核、使用管理等工作中，存在违反本办法规定的行为，以及其他滥用职权、玩忽职守、徇私舞弊等违法违纪行为的，按照《中华人民共和国预算法》、《中华人民共和国公务员法》、《中华人民共和国监察法》、《财政违法行为处罚处分条例》、《彩票管理条例》等国家有关规定追究相应责任。涉嫌违法犯罪的，依法移交司法机关处理。</w:t>
      </w:r>
    </w:p>
    <w:p>
      <w:pPr>
        <w:adjustRightInd/>
        <w:spacing w:line="560" w:lineRule="exact"/>
        <w:jc w:val="both"/>
        <w:textAlignment w:val="auto"/>
        <w:rPr>
          <w:rFonts w:eastAsia="仿宋_GB2312"/>
          <w:kern w:val="2"/>
          <w:sz w:val="28"/>
          <w:szCs w:val="28"/>
        </w:rPr>
      </w:pPr>
    </w:p>
    <w:p>
      <w:pPr>
        <w:adjustRightInd/>
        <w:spacing w:line="560" w:lineRule="exact"/>
        <w:jc w:val="center"/>
        <w:textAlignment w:val="auto"/>
        <w:rPr>
          <w:rFonts w:eastAsia="黑体"/>
          <w:sz w:val="28"/>
          <w:szCs w:val="28"/>
        </w:rPr>
      </w:pPr>
      <w:r>
        <w:rPr>
          <w:rFonts w:hAnsi="黑体" w:eastAsia="黑体"/>
          <w:kern w:val="2"/>
          <w:sz w:val="28"/>
          <w:szCs w:val="28"/>
        </w:rPr>
        <w:t>第六章</w:t>
      </w:r>
      <w:r>
        <w:rPr>
          <w:rFonts w:eastAsia="黑体"/>
          <w:kern w:val="2"/>
          <w:sz w:val="28"/>
          <w:szCs w:val="28"/>
        </w:rPr>
        <w:t xml:space="preserve"> </w:t>
      </w:r>
      <w:r>
        <w:rPr>
          <w:rFonts w:hAnsi="黑体" w:eastAsia="黑体"/>
          <w:kern w:val="2"/>
          <w:sz w:val="28"/>
          <w:szCs w:val="28"/>
        </w:rPr>
        <w:t>附则</w:t>
      </w:r>
    </w:p>
    <w:p>
      <w:pPr>
        <w:adjustRightInd/>
        <w:spacing w:line="560" w:lineRule="exact"/>
        <w:ind w:firstLine="560" w:firstLineChars="200"/>
        <w:jc w:val="both"/>
        <w:textAlignment w:val="auto"/>
        <w:rPr>
          <w:rFonts w:eastAsia="仿宋_GB2312"/>
          <w:kern w:val="2"/>
          <w:sz w:val="28"/>
          <w:szCs w:val="28"/>
        </w:rPr>
      </w:pPr>
      <w:r>
        <w:rPr>
          <w:rFonts w:eastAsia="楷体_GB2312"/>
          <w:sz w:val="28"/>
          <w:szCs w:val="28"/>
        </w:rPr>
        <w:t>第二十四条</w:t>
      </w:r>
      <w:r>
        <w:rPr>
          <w:rFonts w:eastAsia="仿宋_GB2312"/>
          <w:sz w:val="28"/>
          <w:szCs w:val="28"/>
        </w:rPr>
        <w:t xml:space="preserve"> 各区财政部门、民政等业务主管部门可参照本办法规定，结合本区实际，制定资金管理实施细则。</w:t>
      </w:r>
    </w:p>
    <w:p>
      <w:pPr>
        <w:adjustRightInd/>
        <w:spacing w:line="240" w:lineRule="auto"/>
        <w:ind w:firstLine="560" w:firstLineChars="200"/>
        <w:jc w:val="both"/>
        <w:textAlignment w:val="auto"/>
        <w:rPr>
          <w:rFonts w:eastAsia="仿宋_GB2312"/>
          <w:sz w:val="28"/>
          <w:szCs w:val="28"/>
        </w:rPr>
      </w:pPr>
      <w:r>
        <w:rPr>
          <w:rFonts w:eastAsia="楷体_GB2312"/>
          <w:sz w:val="28"/>
          <w:szCs w:val="28"/>
        </w:rPr>
        <w:t>第二十五条</w:t>
      </w:r>
      <w:r>
        <w:rPr>
          <w:rFonts w:eastAsia="仿宋_GB2312"/>
          <w:sz w:val="28"/>
          <w:szCs w:val="28"/>
        </w:rPr>
        <w:t xml:space="preserve"> 本办法自2019年1月1日起施行。原《天津市社会福利基金使用管理暂行办法》（津民计字〔2001〕79号）同时废止。</w:t>
      </w:r>
    </w:p>
    <w:p>
      <w:pPr>
        <w:adjustRightInd/>
        <w:spacing w:line="240" w:lineRule="auto"/>
        <w:jc w:val="both"/>
        <w:textAlignment w:val="auto"/>
        <w:rPr>
          <w:rFonts w:eastAsia="仿宋_GB2312"/>
          <w:sz w:val="28"/>
          <w:szCs w:val="28"/>
        </w:rPr>
      </w:pPr>
    </w:p>
    <w:p>
      <w:pPr>
        <w:adjustRightInd/>
        <w:spacing w:line="240" w:lineRule="auto"/>
        <w:jc w:val="both"/>
        <w:textAlignment w:val="auto"/>
        <w:rPr>
          <w:rFonts w:eastAsia="仿宋_GB2312"/>
          <w:sz w:val="28"/>
          <w:szCs w:val="28"/>
        </w:rPr>
      </w:pPr>
    </w:p>
    <w:p>
      <w:pPr>
        <w:adjustRightInd/>
        <w:spacing w:line="240" w:lineRule="auto"/>
        <w:jc w:val="both"/>
        <w:textAlignment w:val="auto"/>
        <w:rPr>
          <w:rFonts w:eastAsia="仿宋_GB2312"/>
          <w:sz w:val="28"/>
          <w:szCs w:val="28"/>
        </w:rPr>
      </w:pPr>
    </w:p>
    <w:p>
      <w:pPr>
        <w:adjustRightInd/>
        <w:spacing w:line="240" w:lineRule="auto"/>
        <w:jc w:val="both"/>
        <w:textAlignment w:val="auto"/>
        <w:rPr>
          <w:rFonts w:eastAsia="仿宋_GB2312"/>
          <w:sz w:val="28"/>
          <w:szCs w:val="28"/>
        </w:rPr>
      </w:pPr>
    </w:p>
    <w:p>
      <w:pPr>
        <w:adjustRightInd/>
        <w:spacing w:line="240" w:lineRule="auto"/>
        <w:jc w:val="both"/>
        <w:textAlignment w:val="auto"/>
        <w:rPr>
          <w:rFonts w:eastAsia="仿宋_GB2312"/>
          <w:sz w:val="28"/>
          <w:szCs w:val="28"/>
        </w:rPr>
      </w:pPr>
    </w:p>
    <w:p>
      <w:pPr>
        <w:adjustRightInd/>
        <w:spacing w:line="240" w:lineRule="auto"/>
        <w:jc w:val="both"/>
        <w:textAlignment w:val="auto"/>
        <w:rPr>
          <w:rFonts w:eastAsia="仿宋_GB2312"/>
          <w:sz w:val="28"/>
          <w:szCs w:val="28"/>
        </w:rPr>
      </w:pPr>
    </w:p>
    <w:p>
      <w:pPr>
        <w:adjustRightInd/>
        <w:spacing w:line="240" w:lineRule="auto"/>
        <w:jc w:val="both"/>
        <w:textAlignment w:val="auto"/>
        <w:rPr>
          <w:rFonts w:eastAsia="仿宋_GB2312"/>
          <w:sz w:val="28"/>
          <w:szCs w:val="28"/>
        </w:rPr>
      </w:pPr>
    </w:p>
    <w:p>
      <w:pPr>
        <w:adjustRightInd/>
        <w:spacing w:line="240" w:lineRule="auto"/>
        <w:jc w:val="both"/>
        <w:textAlignment w:val="auto"/>
        <w:rPr>
          <w:rFonts w:eastAsia="仿宋_GB2312"/>
          <w:sz w:val="28"/>
          <w:szCs w:val="28"/>
        </w:rPr>
      </w:pPr>
    </w:p>
    <w:p>
      <w:pPr>
        <w:jc w:val="center"/>
        <w:rPr>
          <w:b/>
          <w:color w:val="000000"/>
        </w:rPr>
      </w:pPr>
      <w:r>
        <w:rPr>
          <w:rFonts w:hAnsi="宋体"/>
          <w:b/>
          <w:color w:val="000000"/>
        </w:rPr>
        <w:t>━━━━━━━━━━━━━━━━━━━━━━━━━━━━━━━━━━</w:t>
      </w:r>
    </w:p>
    <w:p>
      <w:pPr>
        <w:ind w:right="-961"/>
        <w:rPr>
          <w:rFonts w:eastAsia="仿宋_GB2312"/>
          <w:sz w:val="28"/>
          <w:szCs w:val="28"/>
        </w:rPr>
      </w:pPr>
      <w:r>
        <w:rPr>
          <w:rFonts w:eastAsia="仿宋_GB2312"/>
          <w:sz w:val="28"/>
          <w:szCs w:val="28"/>
        </w:rPr>
        <w:t xml:space="preserve">天津市财政局办公室         </w:t>
      </w:r>
      <w:r>
        <w:rPr>
          <w:rFonts w:hint="eastAsia" w:eastAsia="仿宋_GB2312"/>
          <w:sz w:val="28"/>
          <w:szCs w:val="28"/>
          <w:lang w:val="en-US" w:eastAsia="zh-CN"/>
        </w:rPr>
        <w:t xml:space="preserve"> </w:t>
      </w:r>
      <w:r>
        <w:rPr>
          <w:rFonts w:eastAsia="仿宋_GB2312"/>
          <w:sz w:val="28"/>
          <w:szCs w:val="28"/>
        </w:rPr>
        <w:t xml:space="preserve">           2018年</w:t>
      </w:r>
      <w:r>
        <w:rPr>
          <w:rFonts w:hint="eastAsia" w:eastAsia="仿宋_GB2312"/>
          <w:sz w:val="28"/>
          <w:szCs w:val="28"/>
        </w:rPr>
        <w:t>12</w:t>
      </w:r>
      <w:r>
        <w:rPr>
          <w:rFonts w:eastAsia="仿宋_GB2312"/>
          <w:sz w:val="28"/>
          <w:szCs w:val="28"/>
        </w:rPr>
        <w:t>月</w:t>
      </w:r>
      <w:r>
        <w:rPr>
          <w:rFonts w:hint="eastAsia" w:eastAsia="仿宋_GB2312"/>
          <w:sz w:val="28"/>
          <w:szCs w:val="28"/>
        </w:rPr>
        <w:t>18</w:t>
      </w:r>
      <w:r>
        <w:rPr>
          <w:rFonts w:eastAsia="仿宋_GB2312"/>
          <w:sz w:val="28"/>
          <w:szCs w:val="28"/>
        </w:rPr>
        <w:t>日印发</w:t>
      </w:r>
    </w:p>
    <w:p>
      <w:pPr>
        <w:jc w:val="center"/>
        <w:rPr>
          <w:rFonts w:eastAsia="仿宋_GB2312"/>
          <w:sz w:val="32"/>
          <w:szCs w:val="32"/>
        </w:rPr>
      </w:pPr>
      <w:r>
        <w:rPr>
          <w:rFonts w:hAnsi="宋体"/>
          <w:b/>
          <w:color w:val="000000"/>
        </w:rPr>
        <w:t>━━━━━━━━━━━━━━━━━━━━━━━━━━━━━━━━━━</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MS Serif">
    <w:altName w:val="Times New Roman"/>
    <w:panose1 w:val="00000000000000000000"/>
    <w:charset w:val="00"/>
    <w:family w:val="roman"/>
    <w:pitch w:val="default"/>
    <w:sig w:usb0="00000000" w:usb1="00000000" w:usb2="00000000" w:usb3="00000000" w:csb0="0000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FlNWFmYzg5ZmM4MjgzNmUxNjU4MTBlMGU4ZGIxMjMifQ=="/>
  </w:docVars>
  <w:rsids>
    <w:rsidRoot w:val="241A087F"/>
    <w:rsid w:val="241A087F"/>
    <w:rsid w:val="3D8803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adjustRightInd w:val="0"/>
      <w:spacing w:line="360" w:lineRule="atLeast"/>
      <w:textAlignment w:val="baseline"/>
    </w:pPr>
    <w:rPr>
      <w:rFonts w:ascii="Times New Roman" w:hAnsi="Times New Roman" w:eastAsia="宋体" w:cstheme="minorBidi"/>
      <w:sz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2445</Words>
  <Characters>2464</Characters>
  <Lines>0</Lines>
  <Paragraphs>0</Paragraphs>
  <TotalTime>3</TotalTime>
  <ScaleCrop>false</ScaleCrop>
  <LinksUpToDate>false</LinksUpToDate>
  <CharactersWithSpaces>2496</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2022-06-30T02:09:00Z</dcterms:created>
  <dc:creator>皮皮(找我加入）</dc:creator>
  <cp:lastModifiedBy>皮皮(找我加入）</cp:lastModifiedBy>
  <dcterms:modified xsi:type="dcterms:W3CDTF">2022-06-30T02:53:45Z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45078A9C218B4224B82210AA264AC995</vt:lpwstr>
  </property>
</Properties>
</file>