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简体"/>
          <w:sz w:val="44"/>
          <w:szCs w:val="44"/>
        </w:rPr>
      </w:pPr>
      <w:r>
        <w:rPr>
          <w:rFonts w:hint="eastAsia" w:eastAsia="方正小标宋简体" w:cs="方正小标宋简体"/>
          <w:sz w:val="44"/>
          <w:szCs w:val="44"/>
        </w:rPr>
        <w:t>天津市公益性公墓（骨灰堂）收费管理暂行办法</w:t>
      </w:r>
    </w:p>
    <w:p>
      <w:pPr>
        <w:spacing w:line="540" w:lineRule="exact"/>
        <w:ind w:firstLine="600" w:firstLineChars="200"/>
        <w:rPr>
          <w:rFonts w:hint="eastAsia" w:eastAsia="华文仿宋"/>
          <w:b w:val="0"/>
          <w:bCs w:val="0"/>
          <w:sz w:val="36"/>
          <w:szCs w:val="36"/>
          <w:lang w:val="en-US" w:eastAsia="zh-CN"/>
        </w:rPr>
      </w:pPr>
      <w:r>
        <w:rPr>
          <w:rFonts w:hint="eastAsia" w:eastAsia="华文仿宋"/>
          <w:sz w:val="30"/>
          <w:szCs w:val="30"/>
          <w:lang w:val="en-US" w:eastAsia="zh-CN"/>
        </w:rPr>
        <w:t xml:space="preserve">                </w:t>
      </w:r>
      <w:r>
        <w:rPr>
          <w:rFonts w:hint="eastAsia" w:eastAsia="华文仿宋"/>
          <w:b w:val="0"/>
          <w:bCs w:val="0"/>
          <w:sz w:val="36"/>
          <w:szCs w:val="36"/>
          <w:lang w:val="en-US" w:eastAsia="zh-CN"/>
        </w:rPr>
        <w:t xml:space="preserve"> （征求意见稿）</w:t>
      </w:r>
    </w:p>
    <w:p>
      <w:pPr>
        <w:pStyle w:val="2"/>
        <w:rPr>
          <w:rFonts w:hint="default"/>
          <w:lang w:val="en-US" w:eastAsia="zh-CN"/>
        </w:rPr>
      </w:pPr>
    </w:p>
    <w:p>
      <w:pPr>
        <w:spacing w:line="540" w:lineRule="exact"/>
        <w:ind w:firstLine="640" w:firstLineChars="200"/>
        <w:rPr>
          <w:rFonts w:hint="eastAsia" w:eastAsia="仿宋" w:cs="仿宋"/>
          <w:sz w:val="32"/>
          <w:szCs w:val="32"/>
        </w:rPr>
      </w:pPr>
      <w:r>
        <w:rPr>
          <w:rFonts w:hint="eastAsia" w:eastAsia="仿宋" w:cs="仿宋"/>
          <w:sz w:val="32"/>
          <w:szCs w:val="32"/>
        </w:rPr>
        <w:t>为进一步加强和规范我市公益性公墓（骨灰堂）管理，维护</w:t>
      </w:r>
      <w:r>
        <w:rPr>
          <w:rFonts w:hint="eastAsia" w:eastAsia="仿宋" w:cs="仿宋"/>
          <w:sz w:val="32"/>
          <w:szCs w:val="32"/>
          <w:lang w:eastAsia="zh-CN"/>
        </w:rPr>
        <w:t>人民</w:t>
      </w:r>
      <w:r>
        <w:rPr>
          <w:rFonts w:hint="eastAsia" w:eastAsia="仿宋" w:cs="仿宋"/>
          <w:sz w:val="32"/>
          <w:szCs w:val="32"/>
        </w:rPr>
        <w:t>群众利益，营造良好殡葬服务环境，现结合我市实际情况制定如下收费管理办法：</w:t>
      </w:r>
    </w:p>
    <w:p>
      <w:pPr>
        <w:spacing w:line="540" w:lineRule="exact"/>
        <w:ind w:firstLine="640" w:firstLineChars="200"/>
        <w:rPr>
          <w:rFonts w:hint="eastAsia" w:eastAsia="黑体" w:cs="黑体"/>
          <w:sz w:val="32"/>
          <w:szCs w:val="32"/>
        </w:rPr>
      </w:pPr>
      <w:r>
        <w:rPr>
          <w:rFonts w:hint="eastAsia" w:eastAsia="黑体" w:cs="黑体"/>
          <w:sz w:val="32"/>
          <w:szCs w:val="32"/>
        </w:rPr>
        <w:t>一、规范服务内容</w:t>
      </w:r>
    </w:p>
    <w:p>
      <w:pPr>
        <w:spacing w:line="540" w:lineRule="exact"/>
        <w:ind w:firstLine="640" w:firstLineChars="200"/>
        <w:rPr>
          <w:rFonts w:hint="eastAsia" w:eastAsia="仿宋" w:cs="仿宋"/>
          <w:sz w:val="32"/>
          <w:szCs w:val="32"/>
          <w:lang w:val="en-US" w:eastAsia="zh-CN"/>
        </w:rPr>
      </w:pPr>
      <w:r>
        <w:rPr>
          <w:rFonts w:hint="eastAsia" w:eastAsia="仿宋" w:cs="仿宋"/>
          <w:sz w:val="32"/>
          <w:szCs w:val="32"/>
          <w:lang w:val="en-US" w:eastAsia="zh-CN"/>
        </w:rPr>
        <w:t>公益性公墓（骨灰堂）是指不以营利为目的，为城乡居民提供遗体安葬或骨灰安葬（放）服务的公共安葬（放）设施。包含区级、乡镇级、村级等各级公益性公墓（骨灰堂）。</w:t>
      </w:r>
    </w:p>
    <w:p>
      <w:pPr>
        <w:spacing w:line="540" w:lineRule="exact"/>
        <w:ind w:firstLine="640" w:firstLineChars="200"/>
        <w:rPr>
          <w:rFonts w:eastAsia="仿宋"/>
          <w:sz w:val="32"/>
          <w:szCs w:val="32"/>
        </w:rPr>
      </w:pPr>
      <w:r>
        <w:rPr>
          <w:rFonts w:hint="eastAsia" w:eastAsia="仿宋" w:cs="仿宋"/>
          <w:sz w:val="32"/>
          <w:szCs w:val="32"/>
        </w:rPr>
        <w:t>公益性骨灰堂收费项目</w:t>
      </w:r>
      <w:r>
        <w:rPr>
          <w:rFonts w:hint="eastAsia" w:eastAsia="仿宋" w:cs="仿宋"/>
          <w:sz w:val="32"/>
          <w:szCs w:val="32"/>
          <w:lang w:eastAsia="zh-CN"/>
        </w:rPr>
        <w:t>为管理</w:t>
      </w:r>
      <w:r>
        <w:rPr>
          <w:rFonts w:hint="eastAsia" w:eastAsia="仿宋" w:cs="仿宋"/>
          <w:sz w:val="32"/>
          <w:szCs w:val="32"/>
        </w:rPr>
        <w:t>费</w:t>
      </w:r>
      <w:r>
        <w:rPr>
          <w:rFonts w:hint="eastAsia" w:eastAsia="仿宋" w:cs="仿宋"/>
          <w:sz w:val="32"/>
          <w:szCs w:val="32"/>
          <w:lang w:eastAsia="zh-CN"/>
        </w:rPr>
        <w:t>。</w:t>
      </w:r>
      <w:r>
        <w:rPr>
          <w:rFonts w:hint="eastAsia" w:eastAsia="仿宋" w:cs="仿宋"/>
          <w:sz w:val="32"/>
          <w:szCs w:val="32"/>
        </w:rPr>
        <w:t>主要包括骨灰堂</w:t>
      </w:r>
      <w:r>
        <w:rPr>
          <w:rFonts w:hint="eastAsia" w:eastAsia="仿宋" w:cs="仿宋"/>
          <w:sz w:val="32"/>
          <w:szCs w:val="32"/>
          <w:lang w:eastAsia="zh-CN"/>
        </w:rPr>
        <w:t>运营维护</w:t>
      </w:r>
      <w:r>
        <w:rPr>
          <w:rFonts w:hint="eastAsia" w:eastAsia="仿宋" w:cs="仿宋"/>
          <w:sz w:val="32"/>
          <w:szCs w:val="32"/>
        </w:rPr>
        <w:t>、日常管理、卫生、垃圾清运。</w:t>
      </w:r>
    </w:p>
    <w:p>
      <w:pPr>
        <w:spacing w:line="540" w:lineRule="exact"/>
        <w:ind w:firstLine="640" w:firstLineChars="200"/>
        <w:rPr>
          <w:rFonts w:eastAsia="仿宋"/>
          <w:sz w:val="32"/>
          <w:szCs w:val="32"/>
        </w:rPr>
      </w:pPr>
      <w:r>
        <w:rPr>
          <w:rFonts w:hint="eastAsia" w:eastAsia="仿宋" w:cs="仿宋"/>
          <w:sz w:val="32"/>
          <w:szCs w:val="32"/>
        </w:rPr>
        <w:t>公益性公墓收费项目为</w:t>
      </w:r>
      <w:r>
        <w:rPr>
          <w:rFonts w:hint="eastAsia" w:eastAsia="仿宋" w:cs="仿宋"/>
          <w:sz w:val="32"/>
          <w:szCs w:val="32"/>
          <w:lang w:eastAsia="zh-CN"/>
        </w:rPr>
        <w:t>墓葬费和管理</w:t>
      </w:r>
      <w:r>
        <w:rPr>
          <w:rFonts w:hint="eastAsia" w:eastAsia="仿宋" w:cs="仿宋"/>
          <w:sz w:val="32"/>
          <w:szCs w:val="32"/>
        </w:rPr>
        <w:t>费</w:t>
      </w:r>
      <w:r>
        <w:rPr>
          <w:rFonts w:hint="eastAsia" w:eastAsia="仿宋" w:cs="仿宋"/>
          <w:sz w:val="32"/>
          <w:szCs w:val="32"/>
          <w:lang w:eastAsia="zh-CN"/>
        </w:rPr>
        <w:t>。墓葬费</w:t>
      </w:r>
      <w:r>
        <w:rPr>
          <w:rFonts w:hint="eastAsia" w:eastAsia="仿宋" w:cs="仿宋"/>
          <w:sz w:val="32"/>
          <w:szCs w:val="32"/>
        </w:rPr>
        <w:t>主要包括建设墓穴、墓碑、运输、安装的材料、人工劳务费用</w:t>
      </w:r>
      <w:r>
        <w:rPr>
          <w:rFonts w:hint="eastAsia" w:eastAsia="仿宋" w:cs="仿宋"/>
          <w:sz w:val="32"/>
          <w:szCs w:val="32"/>
          <w:lang w:eastAsia="zh-CN"/>
        </w:rPr>
        <w:t>；管理</w:t>
      </w:r>
      <w:r>
        <w:rPr>
          <w:rFonts w:hint="eastAsia" w:eastAsia="仿宋" w:cs="仿宋"/>
          <w:sz w:val="32"/>
          <w:szCs w:val="32"/>
        </w:rPr>
        <w:t>费</w:t>
      </w:r>
      <w:r>
        <w:rPr>
          <w:rFonts w:hint="eastAsia" w:eastAsia="仿宋" w:cs="仿宋"/>
          <w:sz w:val="32"/>
          <w:szCs w:val="32"/>
          <w:lang w:eastAsia="zh-CN"/>
        </w:rPr>
        <w:t>主要包括</w:t>
      </w:r>
      <w:r>
        <w:rPr>
          <w:rFonts w:hint="eastAsia" w:eastAsia="仿宋" w:cs="仿宋"/>
          <w:sz w:val="32"/>
          <w:szCs w:val="32"/>
        </w:rPr>
        <w:t>公墓日常管理、维护、卫生、垃圾清运、绿化。</w:t>
      </w:r>
    </w:p>
    <w:p>
      <w:pPr>
        <w:spacing w:line="540" w:lineRule="exact"/>
        <w:ind w:firstLine="643" w:firstLineChars="200"/>
        <w:rPr>
          <w:rFonts w:eastAsia="黑体"/>
          <w:sz w:val="32"/>
          <w:szCs w:val="32"/>
        </w:rPr>
      </w:pPr>
      <w:r>
        <w:rPr>
          <w:rFonts w:hint="eastAsia" w:eastAsia="黑体" w:cs="黑体"/>
          <w:b/>
          <w:bCs/>
          <w:sz w:val="32"/>
          <w:szCs w:val="32"/>
        </w:rPr>
        <w:t>二、</w:t>
      </w:r>
      <w:r>
        <w:rPr>
          <w:rFonts w:hint="eastAsia" w:eastAsia="黑体" w:cs="黑体"/>
          <w:sz w:val="32"/>
          <w:szCs w:val="32"/>
        </w:rPr>
        <w:t>制</w:t>
      </w:r>
      <w:r>
        <w:rPr>
          <w:rFonts w:hint="eastAsia" w:eastAsia="黑体" w:cs="黑体"/>
          <w:b/>
          <w:bCs/>
          <w:sz w:val="32"/>
          <w:szCs w:val="32"/>
        </w:rPr>
        <w:t>定收费标准</w:t>
      </w:r>
    </w:p>
    <w:p>
      <w:pPr>
        <w:ind w:firstLine="640" w:firstLineChars="200"/>
        <w:rPr>
          <w:rFonts w:ascii="仿宋" w:hAnsi="仿宋" w:eastAsia="仿宋"/>
          <w:sz w:val="32"/>
          <w:szCs w:val="32"/>
        </w:rPr>
      </w:pPr>
      <w:r>
        <w:rPr>
          <w:rFonts w:hint="eastAsia" w:ascii="仿宋" w:hAnsi="仿宋" w:eastAsia="仿宋" w:cs="仿宋"/>
          <w:sz w:val="32"/>
          <w:szCs w:val="32"/>
        </w:rPr>
        <w:t>由各区政府责成区民政、区发展改革</w:t>
      </w:r>
      <w:r>
        <w:rPr>
          <w:rFonts w:hint="eastAsia" w:ascii="仿宋" w:hAnsi="仿宋" w:eastAsia="仿宋" w:cs="仿宋"/>
          <w:sz w:val="32"/>
          <w:szCs w:val="32"/>
          <w:lang w:eastAsia="zh-CN"/>
        </w:rPr>
        <w:t>委、</w:t>
      </w:r>
      <w:r>
        <w:rPr>
          <w:rFonts w:hint="eastAsia" w:ascii="仿宋" w:hAnsi="仿宋" w:eastAsia="仿宋" w:cs="仿宋"/>
          <w:sz w:val="32"/>
          <w:szCs w:val="32"/>
        </w:rPr>
        <w:t>区农业农村</w:t>
      </w:r>
      <w:r>
        <w:rPr>
          <w:rFonts w:hint="eastAsia" w:ascii="仿宋" w:hAnsi="仿宋" w:eastAsia="仿宋" w:cs="仿宋"/>
          <w:sz w:val="32"/>
          <w:szCs w:val="32"/>
          <w:lang w:eastAsia="zh-CN"/>
        </w:rPr>
        <w:t>委</w:t>
      </w:r>
      <w:r>
        <w:rPr>
          <w:rFonts w:hint="eastAsia" w:ascii="仿宋" w:hAnsi="仿宋" w:eastAsia="仿宋" w:cs="仿宋"/>
          <w:sz w:val="32"/>
          <w:szCs w:val="32"/>
        </w:rPr>
        <w:t>部门，</w:t>
      </w:r>
      <w:r>
        <w:rPr>
          <w:rFonts w:hint="eastAsia" w:ascii="仿宋_GB2312" w:eastAsia="仿宋_GB2312"/>
          <w:sz w:val="32"/>
          <w:szCs w:val="32"/>
        </w:rPr>
        <w:t>按照非营利并兼顾居民承受能力的原则，结合本地区实际确定最高指导价格标准</w:t>
      </w:r>
      <w:r>
        <w:rPr>
          <w:rFonts w:hint="eastAsia" w:ascii="仿宋" w:hAnsi="仿宋" w:eastAsia="仿宋" w:cs="仿宋"/>
          <w:sz w:val="32"/>
          <w:szCs w:val="32"/>
        </w:rPr>
        <w:t>，</w:t>
      </w:r>
      <w:r>
        <w:rPr>
          <w:rFonts w:hint="eastAsia" w:ascii="仿宋" w:hAnsi="仿宋" w:eastAsia="仿宋" w:cs="仿宋"/>
          <w:sz w:val="32"/>
          <w:szCs w:val="32"/>
          <w:lang w:eastAsia="zh-CN"/>
        </w:rPr>
        <w:t>公益性公墓（骨灰堂）管理单位（含区级管理部门、村、镇）</w:t>
      </w:r>
      <w:r>
        <w:rPr>
          <w:rFonts w:hint="eastAsia" w:ascii="仿宋" w:hAnsi="仿宋" w:eastAsia="仿宋" w:cs="仿宋"/>
          <w:sz w:val="32"/>
          <w:szCs w:val="32"/>
        </w:rPr>
        <w:t>在不超过指导价的范围内确定具体收费标准。</w:t>
      </w:r>
    </w:p>
    <w:p>
      <w:pPr>
        <w:spacing w:line="540" w:lineRule="exact"/>
        <w:ind w:firstLine="643" w:firstLineChars="200"/>
        <w:rPr>
          <w:rFonts w:eastAsia="黑体"/>
          <w:sz w:val="32"/>
          <w:szCs w:val="32"/>
        </w:rPr>
      </w:pPr>
      <w:r>
        <w:rPr>
          <w:rFonts w:hint="eastAsia" w:eastAsia="黑体" w:cs="黑体"/>
          <w:b/>
          <w:bCs/>
          <w:sz w:val="32"/>
          <w:szCs w:val="32"/>
        </w:rPr>
        <w:t>三、</w:t>
      </w:r>
      <w:r>
        <w:rPr>
          <w:rFonts w:hint="eastAsia" w:eastAsia="黑体" w:cs="黑体"/>
          <w:sz w:val="32"/>
          <w:szCs w:val="32"/>
        </w:rPr>
        <w:t>价格确定流程</w:t>
      </w:r>
    </w:p>
    <w:p>
      <w:pPr>
        <w:ind w:firstLine="640" w:firstLineChars="200"/>
        <w:rPr>
          <w:rFonts w:hint="eastAsia" w:ascii="仿宋" w:hAnsi="仿宋" w:eastAsia="仿宋_GB2312"/>
          <w:sz w:val="32"/>
          <w:szCs w:val="32"/>
          <w:lang w:eastAsia="zh-CN"/>
        </w:rPr>
      </w:pPr>
      <w:r>
        <w:rPr>
          <w:rFonts w:hint="eastAsia" w:ascii="仿宋" w:hAnsi="仿宋" w:eastAsia="仿宋" w:cs="仿宋"/>
          <w:sz w:val="32"/>
          <w:szCs w:val="32"/>
        </w:rPr>
        <w:t>（一）各区政府责成区民政、区发展改革</w:t>
      </w:r>
      <w:r>
        <w:rPr>
          <w:rFonts w:hint="eastAsia" w:ascii="仿宋" w:hAnsi="仿宋" w:eastAsia="仿宋" w:cs="仿宋"/>
          <w:sz w:val="32"/>
          <w:szCs w:val="32"/>
          <w:lang w:eastAsia="zh-CN"/>
        </w:rPr>
        <w:t>委、</w:t>
      </w:r>
      <w:r>
        <w:rPr>
          <w:rFonts w:hint="eastAsia" w:ascii="仿宋" w:hAnsi="仿宋" w:eastAsia="仿宋" w:cs="仿宋"/>
          <w:sz w:val="32"/>
          <w:szCs w:val="32"/>
        </w:rPr>
        <w:t>区农业农村</w:t>
      </w:r>
      <w:r>
        <w:rPr>
          <w:rFonts w:hint="eastAsia" w:ascii="仿宋" w:hAnsi="仿宋" w:eastAsia="仿宋" w:cs="仿宋"/>
          <w:sz w:val="32"/>
          <w:szCs w:val="32"/>
          <w:lang w:eastAsia="zh-CN"/>
        </w:rPr>
        <w:t>委结合本辖区内</w:t>
      </w:r>
      <w:r>
        <w:rPr>
          <w:rFonts w:hint="eastAsia" w:ascii="仿宋" w:hAnsi="仿宋" w:eastAsia="仿宋" w:cs="仿宋"/>
          <w:sz w:val="32"/>
          <w:szCs w:val="32"/>
        </w:rPr>
        <w:t>殡葬服务设施基本</w:t>
      </w:r>
      <w:r>
        <w:rPr>
          <w:rFonts w:hint="eastAsia" w:ascii="仿宋" w:hAnsi="仿宋" w:eastAsia="仿宋" w:cs="仿宋"/>
          <w:sz w:val="32"/>
          <w:szCs w:val="32"/>
          <w:lang w:eastAsia="zh-CN"/>
        </w:rPr>
        <w:t>情况制定</w:t>
      </w:r>
      <w:r>
        <w:rPr>
          <w:rFonts w:hint="eastAsia" w:ascii="仿宋_GB2312" w:eastAsia="仿宋_GB2312"/>
          <w:sz w:val="32"/>
          <w:szCs w:val="32"/>
        </w:rPr>
        <w:t>最高指导价格标准</w:t>
      </w:r>
      <w:r>
        <w:rPr>
          <w:rFonts w:hint="eastAsia" w:ascii="仿宋_GB2312" w:eastAsia="仿宋_GB2312"/>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公益性公墓（骨灰堂）管理单位</w:t>
      </w:r>
      <w:r>
        <w:rPr>
          <w:rFonts w:hint="eastAsia" w:ascii="仿宋" w:hAnsi="仿宋" w:eastAsia="仿宋" w:cs="仿宋"/>
          <w:sz w:val="32"/>
          <w:szCs w:val="32"/>
        </w:rPr>
        <w:t>依据区民政、区发展改革和区农业农村等部门确定</w:t>
      </w:r>
      <w:r>
        <w:rPr>
          <w:rFonts w:hint="eastAsia" w:ascii="仿宋_GB2312" w:eastAsia="仿宋_GB2312"/>
          <w:sz w:val="32"/>
          <w:szCs w:val="32"/>
        </w:rPr>
        <w:t>最高指导价格标准</w:t>
      </w:r>
      <w:r>
        <w:rPr>
          <w:rFonts w:hint="eastAsia" w:ascii="仿宋" w:hAnsi="仿宋" w:eastAsia="仿宋" w:cs="仿宋"/>
          <w:sz w:val="32"/>
          <w:szCs w:val="32"/>
        </w:rPr>
        <w:t>，结合基本支出测算依据和</w:t>
      </w:r>
      <w:r>
        <w:rPr>
          <w:rFonts w:hint="eastAsia" w:ascii="仿宋" w:hAnsi="仿宋" w:eastAsia="仿宋" w:cs="仿宋"/>
          <w:sz w:val="32"/>
          <w:szCs w:val="32"/>
          <w:lang w:eastAsia="zh-CN"/>
        </w:rPr>
        <w:t>本区、</w:t>
      </w:r>
      <w:r>
        <w:rPr>
          <w:rFonts w:hint="eastAsia" w:ascii="仿宋" w:hAnsi="仿宋" w:eastAsia="仿宋" w:cs="仿宋"/>
          <w:sz w:val="32"/>
          <w:szCs w:val="32"/>
        </w:rPr>
        <w:t>本村镇实际经</w:t>
      </w:r>
      <w:r>
        <w:rPr>
          <w:rFonts w:hint="eastAsia" w:ascii="仿宋" w:hAnsi="仿宋" w:eastAsia="仿宋" w:cs="仿宋"/>
          <w:sz w:val="32"/>
          <w:szCs w:val="32"/>
          <w:lang w:eastAsia="zh-CN"/>
        </w:rPr>
        <w:t>区、</w:t>
      </w:r>
      <w:r>
        <w:rPr>
          <w:rFonts w:hint="eastAsia" w:ascii="仿宋" w:hAnsi="仿宋" w:eastAsia="仿宋" w:cs="仿宋"/>
          <w:sz w:val="32"/>
          <w:szCs w:val="32"/>
        </w:rPr>
        <w:t>村镇集体研究通过拟定具体收费价格</w:t>
      </w:r>
      <w:r>
        <w:rPr>
          <w:rFonts w:hint="eastAsia" w:ascii="仿宋" w:hAnsi="仿宋" w:eastAsia="仿宋" w:cs="仿宋"/>
          <w:sz w:val="32"/>
          <w:szCs w:val="32"/>
          <w:lang w:eastAsia="zh-CN"/>
        </w:rPr>
        <w:t>。</w:t>
      </w:r>
    </w:p>
    <w:p>
      <w:pPr>
        <w:ind w:firstLine="640" w:firstLineChars="200"/>
      </w:pPr>
      <w:r>
        <w:rPr>
          <w:rFonts w:hint="eastAsia" w:ascii="仿宋" w:hAnsi="仿宋" w:eastAsia="仿宋" w:cs="仿宋"/>
          <w:sz w:val="32"/>
          <w:szCs w:val="32"/>
        </w:rPr>
        <w:t>（三）报区民政和区价格管理</w:t>
      </w:r>
      <w:r>
        <w:rPr>
          <w:rFonts w:hint="eastAsia" w:ascii="仿宋" w:hAnsi="仿宋" w:eastAsia="仿宋" w:cs="仿宋"/>
          <w:sz w:val="32"/>
          <w:szCs w:val="32"/>
          <w:lang w:eastAsia="zh-CN"/>
        </w:rPr>
        <w:t>、价格监管</w:t>
      </w:r>
      <w:r>
        <w:rPr>
          <w:rFonts w:hint="eastAsia" w:ascii="仿宋" w:hAnsi="仿宋" w:eastAsia="仿宋" w:cs="仿宋"/>
          <w:sz w:val="32"/>
          <w:szCs w:val="32"/>
        </w:rPr>
        <w:t>部门备案。</w:t>
      </w:r>
    </w:p>
    <w:p>
      <w:pPr>
        <w:spacing w:line="540" w:lineRule="exact"/>
        <w:ind w:firstLine="640" w:firstLineChars="200"/>
        <w:rPr>
          <w:rFonts w:eastAsia="黑体"/>
          <w:sz w:val="32"/>
          <w:szCs w:val="32"/>
        </w:rPr>
      </w:pPr>
      <w:r>
        <w:rPr>
          <w:rFonts w:hint="eastAsia" w:eastAsia="黑体" w:cs="黑体"/>
          <w:sz w:val="32"/>
          <w:szCs w:val="32"/>
        </w:rPr>
        <w:t>四、加强监督管理</w:t>
      </w:r>
    </w:p>
    <w:p>
      <w:pPr>
        <w:spacing w:line="540" w:lineRule="exact"/>
        <w:ind w:firstLine="640" w:firstLineChars="200"/>
        <w:rPr>
          <w:rFonts w:eastAsia="仿宋"/>
          <w:sz w:val="32"/>
          <w:szCs w:val="32"/>
        </w:rPr>
      </w:pPr>
      <w:r>
        <w:rPr>
          <w:rFonts w:hint="eastAsia" w:eastAsia="仿宋" w:cs="仿宋"/>
          <w:sz w:val="32"/>
          <w:szCs w:val="32"/>
        </w:rPr>
        <w:t>采用</w:t>
      </w:r>
      <w:r>
        <w:rPr>
          <w:rFonts w:eastAsia="仿宋"/>
          <w:sz w:val="32"/>
          <w:szCs w:val="32"/>
        </w:rPr>
        <w:t>“</w:t>
      </w:r>
      <w:r>
        <w:rPr>
          <w:rFonts w:hint="eastAsia" w:eastAsia="仿宋" w:cs="仿宋"/>
          <w:sz w:val="32"/>
          <w:szCs w:val="32"/>
        </w:rPr>
        <w:t>双公示、两结合</w:t>
      </w:r>
      <w:r>
        <w:rPr>
          <w:rFonts w:eastAsia="仿宋"/>
          <w:sz w:val="32"/>
          <w:szCs w:val="32"/>
        </w:rPr>
        <w:t>”</w:t>
      </w:r>
      <w:r>
        <w:rPr>
          <w:rFonts w:hint="eastAsia" w:eastAsia="仿宋" w:cs="仿宋"/>
          <w:sz w:val="32"/>
          <w:szCs w:val="32"/>
        </w:rPr>
        <w:t>方式，做好监管工作</w:t>
      </w:r>
    </w:p>
    <w:p>
      <w:pPr>
        <w:spacing w:line="540" w:lineRule="exact"/>
        <w:ind w:firstLine="640" w:firstLineChars="200"/>
        <w:rPr>
          <w:rFonts w:eastAsia="楷体"/>
          <w:sz w:val="32"/>
          <w:szCs w:val="32"/>
        </w:rPr>
      </w:pPr>
      <w:r>
        <w:rPr>
          <w:rFonts w:hint="eastAsia" w:eastAsia="楷体" w:cs="楷体"/>
          <w:sz w:val="32"/>
          <w:szCs w:val="32"/>
        </w:rPr>
        <w:t>（一）建立</w:t>
      </w:r>
      <w:r>
        <w:rPr>
          <w:rFonts w:eastAsia="楷体"/>
          <w:sz w:val="32"/>
          <w:szCs w:val="32"/>
        </w:rPr>
        <w:t>“</w:t>
      </w:r>
      <w:r>
        <w:rPr>
          <w:rFonts w:hint="eastAsia" w:eastAsia="楷体" w:cs="楷体"/>
          <w:sz w:val="32"/>
          <w:szCs w:val="32"/>
        </w:rPr>
        <w:t>双公示</w:t>
      </w:r>
      <w:r>
        <w:rPr>
          <w:rFonts w:eastAsia="楷体"/>
          <w:sz w:val="32"/>
          <w:szCs w:val="32"/>
        </w:rPr>
        <w:t>”</w:t>
      </w:r>
      <w:r>
        <w:rPr>
          <w:rFonts w:hint="eastAsia" w:eastAsia="楷体" w:cs="楷体"/>
          <w:sz w:val="32"/>
          <w:szCs w:val="32"/>
        </w:rPr>
        <w:t>体系，接受社会监督</w:t>
      </w:r>
    </w:p>
    <w:p>
      <w:pPr>
        <w:spacing w:line="540" w:lineRule="exact"/>
        <w:ind w:firstLine="640" w:firstLineChars="200"/>
        <w:rPr>
          <w:rFonts w:eastAsia="仿宋"/>
          <w:sz w:val="32"/>
          <w:szCs w:val="32"/>
        </w:rPr>
      </w:pPr>
      <w:r>
        <w:rPr>
          <w:rFonts w:hint="eastAsia" w:ascii="仿宋" w:hAnsi="仿宋" w:eastAsia="仿宋" w:cs="仿宋"/>
          <w:sz w:val="32"/>
          <w:szCs w:val="32"/>
          <w:lang w:eastAsia="zh-CN"/>
        </w:rPr>
        <w:t>公益性公墓（骨灰堂）管理单位</w:t>
      </w:r>
      <w:r>
        <w:rPr>
          <w:rFonts w:hint="eastAsia" w:eastAsia="仿宋" w:cs="仿宋"/>
          <w:sz w:val="32"/>
          <w:szCs w:val="32"/>
        </w:rPr>
        <w:t>建立公益性殡葬服务设施收费公示体系，对收费项目、收费标准</w:t>
      </w:r>
      <w:r>
        <w:rPr>
          <w:rFonts w:hint="eastAsia" w:eastAsia="仿宋" w:cs="仿宋"/>
          <w:sz w:val="32"/>
          <w:szCs w:val="32"/>
          <w:lang w:eastAsia="zh-CN"/>
        </w:rPr>
        <w:t>、服务内容</w:t>
      </w:r>
      <w:r>
        <w:rPr>
          <w:rFonts w:hint="eastAsia" w:eastAsia="仿宋" w:cs="仿宋"/>
          <w:sz w:val="32"/>
          <w:szCs w:val="32"/>
        </w:rPr>
        <w:t>和年度终了财务报表进行公示。采用</w:t>
      </w:r>
      <w:r>
        <w:rPr>
          <w:rFonts w:eastAsia="仿宋"/>
          <w:sz w:val="32"/>
          <w:szCs w:val="32"/>
        </w:rPr>
        <w:t>“</w:t>
      </w:r>
      <w:r>
        <w:rPr>
          <w:rFonts w:hint="eastAsia" w:eastAsia="仿宋" w:cs="仿宋"/>
          <w:sz w:val="32"/>
          <w:szCs w:val="32"/>
        </w:rPr>
        <w:t>双公开</w:t>
      </w:r>
      <w:r>
        <w:rPr>
          <w:rFonts w:eastAsia="仿宋"/>
          <w:sz w:val="32"/>
          <w:szCs w:val="32"/>
        </w:rPr>
        <w:t>”</w:t>
      </w:r>
      <w:r>
        <w:rPr>
          <w:rFonts w:hint="eastAsia" w:eastAsia="仿宋" w:cs="仿宋"/>
          <w:sz w:val="32"/>
          <w:szCs w:val="32"/>
        </w:rPr>
        <w:t>体系保障成本费用收取的真实性、透明性、合理性，广泛接受社会监督。</w:t>
      </w:r>
    </w:p>
    <w:p>
      <w:pPr>
        <w:spacing w:line="540" w:lineRule="exact"/>
        <w:ind w:firstLine="640" w:firstLineChars="200"/>
        <w:rPr>
          <w:rFonts w:eastAsia="仿宋"/>
          <w:sz w:val="32"/>
          <w:szCs w:val="32"/>
        </w:rPr>
      </w:pPr>
      <w:r>
        <w:rPr>
          <w:rFonts w:hint="eastAsia" w:eastAsia="楷体" w:cs="楷体"/>
          <w:sz w:val="32"/>
          <w:szCs w:val="32"/>
        </w:rPr>
        <w:t>（二）加强</w:t>
      </w:r>
      <w:r>
        <w:rPr>
          <w:rFonts w:eastAsia="楷体"/>
          <w:sz w:val="32"/>
          <w:szCs w:val="32"/>
        </w:rPr>
        <w:t>“</w:t>
      </w:r>
      <w:r>
        <w:rPr>
          <w:rFonts w:hint="eastAsia" w:eastAsia="楷体" w:cs="楷体"/>
          <w:sz w:val="32"/>
          <w:szCs w:val="32"/>
        </w:rPr>
        <w:t>两个结合</w:t>
      </w:r>
      <w:r>
        <w:rPr>
          <w:rFonts w:eastAsia="楷体"/>
          <w:sz w:val="32"/>
          <w:szCs w:val="32"/>
        </w:rPr>
        <w:t>”</w:t>
      </w:r>
      <w:r>
        <w:rPr>
          <w:rFonts w:hint="eastAsia" w:eastAsia="楷体" w:cs="楷体"/>
          <w:sz w:val="32"/>
          <w:szCs w:val="32"/>
        </w:rPr>
        <w:t>，推动高效监管</w:t>
      </w:r>
    </w:p>
    <w:p>
      <w:pPr>
        <w:spacing w:line="540" w:lineRule="exact"/>
        <w:ind w:firstLine="640" w:firstLineChars="200"/>
        <w:rPr>
          <w:rFonts w:eastAsia="仿宋"/>
          <w:color w:val="1A2930"/>
          <w:sz w:val="32"/>
          <w:szCs w:val="32"/>
          <w:shd w:val="clear" w:color="auto" w:fill="FFFFFF"/>
        </w:rPr>
      </w:pPr>
      <w:r>
        <w:rPr>
          <w:rFonts w:hint="eastAsia" w:eastAsia="仿宋" w:cs="仿宋"/>
          <w:sz w:val="32"/>
          <w:szCs w:val="32"/>
          <w:lang w:eastAsia="zh-CN"/>
        </w:rPr>
        <w:t>区民政会同</w:t>
      </w:r>
      <w:r>
        <w:rPr>
          <w:rFonts w:hint="eastAsia" w:eastAsia="仿宋" w:cs="仿宋"/>
          <w:sz w:val="32"/>
          <w:szCs w:val="32"/>
        </w:rPr>
        <w:t>区市场监管部门采用</w:t>
      </w:r>
      <w:r>
        <w:rPr>
          <w:rFonts w:eastAsia="仿宋"/>
          <w:sz w:val="32"/>
          <w:szCs w:val="32"/>
        </w:rPr>
        <w:t>“</w:t>
      </w:r>
      <w:r>
        <w:rPr>
          <w:rFonts w:hint="eastAsia" w:eastAsia="仿宋" w:cs="仿宋"/>
          <w:sz w:val="32"/>
          <w:szCs w:val="32"/>
        </w:rPr>
        <w:t>检监</w:t>
      </w:r>
      <w:r>
        <w:rPr>
          <w:rFonts w:eastAsia="仿宋"/>
          <w:sz w:val="32"/>
          <w:szCs w:val="32"/>
        </w:rPr>
        <w:t>”</w:t>
      </w:r>
      <w:r>
        <w:rPr>
          <w:rFonts w:hint="eastAsia" w:eastAsia="仿宋" w:cs="仿宋"/>
          <w:sz w:val="32"/>
          <w:szCs w:val="32"/>
        </w:rPr>
        <w:t>结合、</w:t>
      </w:r>
      <w:r>
        <w:rPr>
          <w:rFonts w:eastAsia="仿宋"/>
          <w:sz w:val="32"/>
          <w:szCs w:val="32"/>
        </w:rPr>
        <w:t>“</w:t>
      </w:r>
      <w:r>
        <w:rPr>
          <w:rFonts w:hint="eastAsia" w:eastAsia="仿宋" w:cs="仿宋"/>
          <w:sz w:val="32"/>
          <w:szCs w:val="32"/>
        </w:rPr>
        <w:t>投检</w:t>
      </w:r>
      <w:r>
        <w:rPr>
          <w:rFonts w:eastAsia="仿宋"/>
          <w:sz w:val="32"/>
          <w:szCs w:val="32"/>
        </w:rPr>
        <w:t>”</w:t>
      </w:r>
      <w:r>
        <w:rPr>
          <w:rFonts w:hint="eastAsia" w:eastAsia="仿宋" w:cs="仿宋"/>
          <w:sz w:val="32"/>
          <w:szCs w:val="32"/>
        </w:rPr>
        <w:t>结合方式，即制定随机抽查检查计划进行监督检查和以投诉举报为线索的专项</w:t>
      </w:r>
      <w:r>
        <w:rPr>
          <w:rFonts w:hint="eastAsia" w:eastAsia="仿宋" w:cs="仿宋"/>
          <w:color w:val="1A2930"/>
          <w:sz w:val="32"/>
          <w:szCs w:val="32"/>
          <w:shd w:val="clear" w:color="auto" w:fill="FFFFFF"/>
        </w:rPr>
        <w:t>检查相结合方式，对随机抽查监督检查中发现的问题和群众对殡葬服务收费的投诉举报认真处理。</w:t>
      </w:r>
    </w:p>
    <w:p>
      <w:pPr>
        <w:spacing w:line="540" w:lineRule="exact"/>
        <w:ind w:firstLine="640" w:firstLineChars="200"/>
        <w:rPr>
          <w:rFonts w:eastAsia="楷体"/>
          <w:sz w:val="32"/>
          <w:szCs w:val="32"/>
        </w:rPr>
      </w:pPr>
      <w:r>
        <w:rPr>
          <w:rFonts w:hint="eastAsia" w:eastAsia="楷体" w:cs="楷体"/>
          <w:sz w:val="32"/>
          <w:szCs w:val="32"/>
        </w:rPr>
        <w:t>（三）严格执法，提高监管力度</w:t>
      </w:r>
    </w:p>
    <w:p>
      <w:pPr>
        <w:spacing w:line="540" w:lineRule="exact"/>
        <w:ind w:firstLine="640" w:firstLineChars="200"/>
        <w:rPr>
          <w:rFonts w:eastAsia="黑体"/>
          <w:sz w:val="32"/>
          <w:szCs w:val="32"/>
        </w:rPr>
      </w:pPr>
      <w:r>
        <w:rPr>
          <w:rFonts w:hint="eastAsia" w:eastAsia="仿宋" w:cs="仿宋"/>
          <w:color w:val="1A2930"/>
          <w:sz w:val="32"/>
          <w:szCs w:val="32"/>
          <w:shd w:val="clear" w:color="auto" w:fill="FFFFFF"/>
        </w:rPr>
        <w:t>严肃查处</w:t>
      </w:r>
      <w:r>
        <w:rPr>
          <w:rFonts w:hint="eastAsia" w:eastAsia="仿宋" w:cs="仿宋"/>
          <w:color w:val="1A2930"/>
          <w:sz w:val="32"/>
          <w:szCs w:val="32"/>
          <w:shd w:val="clear" w:color="auto" w:fill="FFFFFF"/>
          <w:lang w:eastAsia="zh-CN"/>
        </w:rPr>
        <w:t>公益性公墓（骨灰堂）</w:t>
      </w:r>
      <w:r>
        <w:rPr>
          <w:rFonts w:hint="eastAsia" w:eastAsia="仿宋" w:cs="仿宋"/>
          <w:color w:val="1A2930"/>
          <w:sz w:val="32"/>
          <w:szCs w:val="32"/>
          <w:shd w:val="clear" w:color="auto" w:fill="FFFFFF"/>
        </w:rPr>
        <w:t>擅自设</w:t>
      </w:r>
      <w:bookmarkStart w:id="0" w:name="_GoBack"/>
      <w:bookmarkEnd w:id="0"/>
      <w:r>
        <w:rPr>
          <w:rFonts w:hint="eastAsia" w:eastAsia="仿宋" w:cs="仿宋"/>
          <w:color w:val="1A2930"/>
          <w:sz w:val="32"/>
          <w:szCs w:val="32"/>
          <w:shd w:val="clear" w:color="auto" w:fill="FFFFFF"/>
        </w:rPr>
        <w:t>立收费项目、提高收费标准、扩大收费范围及强制服务并收费等乱收费行为，切实维护</w:t>
      </w:r>
      <w:r>
        <w:rPr>
          <w:rFonts w:hint="eastAsia" w:eastAsia="仿宋" w:cs="仿宋"/>
          <w:color w:val="1A2930"/>
          <w:sz w:val="32"/>
          <w:szCs w:val="32"/>
          <w:shd w:val="clear" w:color="auto" w:fill="FFFFFF"/>
          <w:lang w:eastAsia="zh-CN"/>
        </w:rPr>
        <w:t>人民</w:t>
      </w:r>
      <w:r>
        <w:rPr>
          <w:rFonts w:hint="eastAsia" w:eastAsia="仿宋" w:cs="仿宋"/>
          <w:color w:val="1A2930"/>
          <w:sz w:val="32"/>
          <w:szCs w:val="32"/>
          <w:shd w:val="clear" w:color="auto" w:fill="FFFFFF"/>
        </w:rPr>
        <w:t>群众的合法权益</w:t>
      </w:r>
      <w:r>
        <w:rPr>
          <w:rFonts w:hint="eastAsia" w:eastAsia="仿宋" w:cs="仿宋"/>
          <w:sz w:val="32"/>
          <w:szCs w:val="32"/>
        </w:rPr>
        <w:t>。</w:t>
      </w:r>
    </w:p>
    <w:p/>
    <w:sectPr>
      <w:footerReference r:id="rId3" w:type="default"/>
      <w:pgSz w:w="11906" w:h="16838"/>
      <w:pgMar w:top="2098" w:right="1335" w:bottom="1984" w:left="1531" w:header="851" w:footer="121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F5D15"/>
    <w:rsid w:val="168F5D15"/>
    <w:rsid w:val="244E2AF4"/>
    <w:rsid w:val="30371FEA"/>
    <w:rsid w:val="551170FD"/>
    <w:rsid w:val="721F58BE"/>
    <w:rsid w:val="76E42B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2021-01-12T01:31:00Z</dcterms:created>
  <dc:creator>smartdog</dc:creator>
  <cp:lastModifiedBy>smartdog</cp:lastModifiedBy>
  <dcterms:modified xsi:type="dcterms:W3CDTF">2021-01-12T03:31:21Z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