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Cs/>
          <w:sz w:val="44"/>
          <w:szCs w:val="44"/>
        </w:rPr>
      </w:pPr>
      <w:r>
        <w:rPr>
          <w:rFonts w:hint="eastAsia" w:ascii="方正小标宋简体" w:hAnsi="方正小标宋简体" w:eastAsia="方正小标宋简体" w:cs="方正小标宋简体"/>
          <w:b w:val="0"/>
          <w:bCs w:val="0"/>
          <w:sz w:val="44"/>
          <w:szCs w:val="44"/>
        </w:rPr>
        <w:t>关于公益性骨灰堂建设</w:t>
      </w:r>
      <w:r>
        <w:rPr>
          <w:rFonts w:hint="eastAsia" w:ascii="方正小标宋简体" w:hAnsi="方正小标宋简体" w:eastAsia="方正小标宋简体" w:cs="方正小标宋简体"/>
          <w:b w:val="0"/>
          <w:bCs w:val="0"/>
          <w:sz w:val="44"/>
          <w:szCs w:val="44"/>
          <w:lang w:eastAsia="zh-CN"/>
        </w:rPr>
        <w:t>管理</w:t>
      </w:r>
      <w:r>
        <w:rPr>
          <w:rFonts w:hint="eastAsia" w:ascii="方正小标宋简体" w:hAnsi="方正小标宋简体" w:eastAsia="方正小标宋简体" w:cs="方正小标宋简体"/>
          <w:b w:val="0"/>
          <w:bCs w:val="0"/>
          <w:sz w:val="44"/>
          <w:szCs w:val="44"/>
        </w:rPr>
        <w:t>的</w:t>
      </w:r>
      <w:r>
        <w:rPr>
          <w:rFonts w:hint="eastAsia" w:ascii="方正小标宋简体" w:hAnsi="方正小标宋简体" w:eastAsia="方正小标宋简体" w:cs="方正小标宋简体"/>
          <w:b w:val="0"/>
          <w:bCs w:val="0"/>
          <w:sz w:val="44"/>
          <w:szCs w:val="44"/>
          <w:lang w:eastAsia="zh-CN"/>
        </w:rPr>
        <w:t>指导</w:t>
      </w:r>
      <w:r>
        <w:rPr>
          <w:rFonts w:hint="eastAsia" w:ascii="方正小标宋简体" w:hAnsi="方正小标宋简体" w:eastAsia="方正小标宋简体" w:cs="方正小标宋简体"/>
          <w:b w:val="0"/>
          <w:bCs w:val="0"/>
          <w:sz w:val="44"/>
          <w:szCs w:val="44"/>
        </w:rPr>
        <w:t>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bCs/>
          <w:sz w:val="32"/>
          <w:szCs w:val="32"/>
          <w:lang w:eastAsia="zh-CN"/>
        </w:rPr>
      </w:pPr>
      <w:r>
        <w:rPr>
          <w:rFonts w:hint="eastAsia" w:ascii="仿宋" w:hAnsi="仿宋" w:eastAsia="仿宋"/>
          <w:bCs/>
          <w:sz w:val="32"/>
          <w:szCs w:val="32"/>
          <w:lang w:eastAsia="zh-CN"/>
        </w:rPr>
        <w:t>（征求意见稿）</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Cs/>
          <w:sz w:val="32"/>
          <w:szCs w:val="32"/>
        </w:rPr>
      </w:pPr>
      <w:r>
        <w:rPr>
          <w:rFonts w:hint="eastAsia" w:ascii="仿宋" w:hAnsi="仿宋" w:eastAsia="仿宋"/>
          <w:bCs/>
          <w:sz w:val="32"/>
          <w:szCs w:val="32"/>
        </w:rPr>
        <w:t>为</w:t>
      </w:r>
      <w:r>
        <w:rPr>
          <w:rFonts w:ascii="仿宋" w:hAnsi="仿宋" w:eastAsia="仿宋"/>
          <w:bCs/>
          <w:sz w:val="32"/>
          <w:szCs w:val="32"/>
        </w:rPr>
        <w:t>进一步加</w:t>
      </w:r>
      <w:r>
        <w:rPr>
          <w:rFonts w:hint="eastAsia" w:ascii="仿宋" w:hAnsi="仿宋" w:eastAsia="仿宋"/>
          <w:bCs/>
          <w:sz w:val="32"/>
          <w:szCs w:val="32"/>
        </w:rPr>
        <w:t>快我市</w:t>
      </w:r>
      <w:r>
        <w:rPr>
          <w:rFonts w:hint="eastAsia" w:ascii="仿宋" w:hAnsi="仿宋" w:eastAsia="仿宋"/>
          <w:bCs/>
          <w:sz w:val="32"/>
          <w:szCs w:val="32"/>
          <w:lang w:eastAsia="zh-CN"/>
        </w:rPr>
        <w:t>公益性骨灰安葬</w:t>
      </w:r>
      <w:r>
        <w:rPr>
          <w:rFonts w:ascii="仿宋" w:hAnsi="仿宋" w:eastAsia="仿宋"/>
          <w:bCs/>
          <w:sz w:val="32"/>
          <w:szCs w:val="32"/>
        </w:rPr>
        <w:t>设施建设，</w:t>
      </w:r>
      <w:r>
        <w:rPr>
          <w:rFonts w:hint="eastAsia" w:ascii="仿宋" w:hAnsi="仿宋" w:eastAsia="仿宋"/>
          <w:bCs/>
          <w:sz w:val="32"/>
          <w:szCs w:val="32"/>
        </w:rPr>
        <w:t>根据《天津市殡葬管理条例》</w:t>
      </w:r>
      <w:r>
        <w:rPr>
          <w:rFonts w:hint="eastAsia" w:ascii="仿宋" w:hAnsi="仿宋" w:eastAsia="仿宋"/>
          <w:bCs/>
          <w:sz w:val="32"/>
          <w:szCs w:val="32"/>
          <w:lang w:eastAsia="zh-CN"/>
        </w:rPr>
        <w:t>、《公墓和骨灰寄存建筑设计规范》</w:t>
      </w:r>
      <w:r>
        <w:rPr>
          <w:rFonts w:hint="eastAsia" w:ascii="仿宋" w:hAnsi="仿宋" w:eastAsia="仿宋"/>
          <w:bCs/>
          <w:sz w:val="32"/>
          <w:szCs w:val="32"/>
        </w:rPr>
        <w:t>等有关规定, 结合我市实际，现就</w:t>
      </w:r>
      <w:r>
        <w:rPr>
          <w:rFonts w:ascii="仿宋" w:hAnsi="仿宋" w:eastAsia="仿宋"/>
          <w:bCs/>
          <w:sz w:val="32"/>
          <w:szCs w:val="32"/>
        </w:rPr>
        <w:t>公益性</w:t>
      </w:r>
      <w:r>
        <w:rPr>
          <w:rFonts w:hint="eastAsia" w:ascii="仿宋" w:hAnsi="仿宋" w:eastAsia="仿宋"/>
          <w:bCs/>
          <w:sz w:val="32"/>
          <w:szCs w:val="32"/>
        </w:rPr>
        <w:t>骨灰堂</w:t>
      </w:r>
      <w:r>
        <w:rPr>
          <w:rFonts w:ascii="仿宋" w:hAnsi="仿宋" w:eastAsia="仿宋"/>
          <w:bCs/>
          <w:sz w:val="32"/>
          <w:szCs w:val="32"/>
        </w:rPr>
        <w:t>建设</w:t>
      </w:r>
      <w:r>
        <w:rPr>
          <w:rFonts w:hint="eastAsia" w:ascii="仿宋" w:hAnsi="仿宋" w:eastAsia="仿宋"/>
          <w:bCs/>
          <w:sz w:val="32"/>
          <w:szCs w:val="32"/>
          <w:lang w:eastAsia="zh-CN"/>
        </w:rPr>
        <w:t>管理</w:t>
      </w:r>
      <w:r>
        <w:rPr>
          <w:rFonts w:hint="eastAsia" w:ascii="仿宋" w:hAnsi="仿宋" w:eastAsia="仿宋"/>
          <w:bCs/>
          <w:sz w:val="32"/>
          <w:szCs w:val="32"/>
        </w:rPr>
        <w:t>提出如下</w:t>
      </w:r>
      <w:r>
        <w:rPr>
          <w:rFonts w:hint="eastAsia" w:ascii="仿宋" w:hAnsi="仿宋" w:eastAsia="仿宋"/>
          <w:bCs/>
          <w:sz w:val="32"/>
          <w:szCs w:val="32"/>
          <w:lang w:eastAsia="zh-CN"/>
        </w:rPr>
        <w:t>指导</w:t>
      </w:r>
      <w:r>
        <w:rPr>
          <w:rFonts w:hint="eastAsia" w:ascii="仿宋" w:hAnsi="仿宋" w:eastAsia="仿宋"/>
          <w:bCs/>
          <w:sz w:val="32"/>
          <w:szCs w:val="32"/>
        </w:rPr>
        <w:t>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w:t>
      </w:r>
      <w:r>
        <w:rPr>
          <w:rFonts w:hint="eastAsia" w:ascii="黑体" w:hAnsi="黑体" w:eastAsia="黑体" w:cs="黑体"/>
          <w:b w:val="0"/>
          <w:bCs/>
          <w:sz w:val="32"/>
          <w:szCs w:val="32"/>
          <w:lang w:eastAsia="zh-CN"/>
        </w:rPr>
        <w:t>规范</w:t>
      </w:r>
      <w:r>
        <w:rPr>
          <w:rFonts w:hint="eastAsia" w:ascii="黑体" w:hAnsi="黑体" w:eastAsia="黑体" w:cs="黑体"/>
          <w:b w:val="0"/>
          <w:bCs/>
          <w:sz w:val="32"/>
          <w:szCs w:val="32"/>
        </w:rPr>
        <w:t>公益性骨灰堂</w:t>
      </w:r>
      <w:r>
        <w:rPr>
          <w:rFonts w:hint="eastAsia" w:ascii="黑体" w:hAnsi="黑体" w:eastAsia="黑体" w:cs="黑体"/>
          <w:b w:val="0"/>
          <w:bCs/>
          <w:sz w:val="32"/>
          <w:szCs w:val="32"/>
          <w:lang w:eastAsia="zh-CN"/>
        </w:rPr>
        <w:t>建设管理的</w:t>
      </w:r>
      <w:r>
        <w:rPr>
          <w:rFonts w:hint="eastAsia" w:ascii="黑体" w:hAnsi="黑体" w:eastAsia="黑体" w:cs="黑体"/>
          <w:b w:val="0"/>
          <w:bCs/>
          <w:sz w:val="32"/>
          <w:szCs w:val="32"/>
        </w:rPr>
        <w:t>必要性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Cs/>
          <w:sz w:val="32"/>
          <w:szCs w:val="32"/>
        </w:rPr>
      </w:pPr>
      <w:r>
        <w:rPr>
          <w:rFonts w:hint="eastAsia" w:ascii="仿宋" w:hAnsi="仿宋" w:eastAsia="仿宋"/>
          <w:bCs/>
          <w:sz w:val="32"/>
          <w:szCs w:val="32"/>
        </w:rPr>
        <w:t>经过多年努力，我市</w:t>
      </w:r>
      <w:r>
        <w:rPr>
          <w:rFonts w:hint="eastAsia" w:ascii="仿宋" w:hAnsi="仿宋" w:eastAsia="仿宋"/>
          <w:bCs/>
          <w:sz w:val="32"/>
          <w:szCs w:val="32"/>
          <w:lang w:eastAsia="zh-CN"/>
        </w:rPr>
        <w:t>殡</w:t>
      </w:r>
      <w:r>
        <w:rPr>
          <w:rFonts w:hint="eastAsia" w:ascii="仿宋" w:hAnsi="仿宋" w:eastAsia="仿宋"/>
          <w:bCs/>
          <w:sz w:val="32"/>
          <w:szCs w:val="32"/>
        </w:rPr>
        <w:t>葬改革工作取得</w:t>
      </w:r>
      <w:r>
        <w:rPr>
          <w:rFonts w:hint="eastAsia" w:ascii="仿宋" w:hAnsi="仿宋" w:eastAsia="仿宋"/>
          <w:bCs/>
          <w:sz w:val="32"/>
          <w:szCs w:val="32"/>
          <w:lang w:eastAsia="zh-CN"/>
        </w:rPr>
        <w:t>了</w:t>
      </w:r>
      <w:r>
        <w:rPr>
          <w:rFonts w:hint="eastAsia" w:ascii="仿宋" w:hAnsi="仿宋" w:eastAsia="仿宋"/>
          <w:bCs/>
          <w:sz w:val="32"/>
          <w:szCs w:val="32"/>
        </w:rPr>
        <w:t>明显成效，但与殡葬改革</w:t>
      </w:r>
      <w:r>
        <w:rPr>
          <w:rFonts w:hint="eastAsia" w:ascii="仿宋" w:hAnsi="仿宋" w:eastAsia="仿宋"/>
          <w:bCs/>
          <w:sz w:val="32"/>
          <w:szCs w:val="32"/>
          <w:lang w:eastAsia="zh-CN"/>
        </w:rPr>
        <w:t>、</w:t>
      </w:r>
      <w:r>
        <w:rPr>
          <w:rFonts w:hint="eastAsia" w:ascii="仿宋" w:hAnsi="仿宋" w:eastAsia="仿宋"/>
          <w:bCs/>
          <w:sz w:val="32"/>
          <w:szCs w:val="32"/>
        </w:rPr>
        <w:t>城市发展</w:t>
      </w:r>
      <w:r>
        <w:rPr>
          <w:rFonts w:hint="eastAsia" w:ascii="仿宋" w:hAnsi="仿宋" w:eastAsia="仿宋"/>
          <w:bCs/>
          <w:sz w:val="32"/>
          <w:szCs w:val="32"/>
          <w:lang w:eastAsia="zh-CN"/>
        </w:rPr>
        <w:t>特别是新时代</w:t>
      </w:r>
      <w:r>
        <w:rPr>
          <w:rFonts w:hint="eastAsia" w:ascii="仿宋" w:hAnsi="仿宋" w:eastAsia="仿宋"/>
          <w:bCs/>
          <w:sz w:val="32"/>
          <w:szCs w:val="32"/>
        </w:rPr>
        <w:t>人民群众的要求仍有</w:t>
      </w:r>
      <w:r>
        <w:rPr>
          <w:rFonts w:hint="eastAsia" w:ascii="仿宋" w:hAnsi="仿宋" w:eastAsia="仿宋"/>
          <w:bCs/>
          <w:sz w:val="32"/>
          <w:szCs w:val="32"/>
          <w:lang w:eastAsia="zh-CN"/>
        </w:rPr>
        <w:t>不小的</w:t>
      </w:r>
      <w:r>
        <w:rPr>
          <w:rFonts w:hint="eastAsia" w:ascii="仿宋" w:hAnsi="仿宋" w:eastAsia="仿宋"/>
          <w:bCs/>
          <w:sz w:val="32"/>
          <w:szCs w:val="32"/>
        </w:rPr>
        <w:t>差距，突出</w:t>
      </w:r>
      <w:r>
        <w:rPr>
          <w:rFonts w:hint="eastAsia" w:ascii="仿宋" w:hAnsi="仿宋" w:eastAsia="仿宋"/>
          <w:bCs/>
          <w:sz w:val="32"/>
          <w:szCs w:val="32"/>
          <w:lang w:eastAsia="zh-CN"/>
        </w:rPr>
        <w:t>表现在公益性</w:t>
      </w:r>
      <w:r>
        <w:rPr>
          <w:rFonts w:hint="eastAsia" w:ascii="仿宋" w:hAnsi="仿宋" w:eastAsia="仿宋"/>
          <w:bCs/>
          <w:sz w:val="32"/>
          <w:szCs w:val="32"/>
        </w:rPr>
        <w:t>骨灰存放设施</w:t>
      </w:r>
      <w:r>
        <w:rPr>
          <w:rFonts w:hint="eastAsia" w:ascii="仿宋" w:hAnsi="仿宋" w:eastAsia="仿宋"/>
          <w:bCs/>
          <w:sz w:val="32"/>
          <w:szCs w:val="32"/>
          <w:lang w:val="zh-CN"/>
        </w:rPr>
        <w:t>区域分布不均衡，建设用地、管理服务不规范，部分设施外观样式不符合殡葬设施特点。</w:t>
      </w:r>
      <w:r>
        <w:rPr>
          <w:rFonts w:hint="eastAsia" w:ascii="仿宋" w:hAnsi="仿宋" w:eastAsia="仿宋"/>
          <w:bCs/>
          <w:sz w:val="32"/>
          <w:szCs w:val="32"/>
          <w:lang w:eastAsia="zh-CN"/>
        </w:rPr>
        <w:t>加强以</w:t>
      </w:r>
      <w:r>
        <w:rPr>
          <w:rFonts w:hint="eastAsia" w:ascii="仿宋" w:hAnsi="仿宋" w:eastAsia="仿宋"/>
          <w:bCs/>
          <w:sz w:val="32"/>
          <w:szCs w:val="32"/>
        </w:rPr>
        <w:t>公益性骨灰堂</w:t>
      </w:r>
      <w:r>
        <w:rPr>
          <w:rFonts w:hint="eastAsia" w:ascii="仿宋" w:hAnsi="仿宋" w:eastAsia="仿宋"/>
          <w:bCs/>
          <w:sz w:val="32"/>
          <w:szCs w:val="32"/>
          <w:lang w:eastAsia="zh-CN"/>
        </w:rPr>
        <w:t>为主的公益性</w:t>
      </w:r>
      <w:r>
        <w:rPr>
          <w:rFonts w:hint="eastAsia" w:ascii="仿宋" w:hAnsi="仿宋" w:eastAsia="仿宋"/>
          <w:bCs/>
          <w:sz w:val="32"/>
          <w:szCs w:val="32"/>
        </w:rPr>
        <w:t>骨灰存放设施</w:t>
      </w:r>
      <w:r>
        <w:rPr>
          <w:rFonts w:hint="eastAsia" w:ascii="仿宋" w:hAnsi="仿宋" w:eastAsia="仿宋"/>
          <w:bCs/>
          <w:sz w:val="32"/>
          <w:szCs w:val="32"/>
          <w:lang w:eastAsia="zh-CN"/>
        </w:rPr>
        <w:t>规划建设和服务管理，是促进我市殡葬事业健康发展的客观需要，是满足人民群众实际需求的客观需要，是推动建立健全社会主义现代化大都市相匹配的</w:t>
      </w:r>
      <w:r>
        <w:rPr>
          <w:rFonts w:hint="eastAsia" w:ascii="仿宋" w:hAnsi="仿宋" w:eastAsia="仿宋"/>
          <w:bCs/>
          <w:color w:val="auto"/>
          <w:sz w:val="32"/>
          <w:szCs w:val="32"/>
          <w:lang w:eastAsia="zh-CN"/>
        </w:rPr>
        <w:t>民</w:t>
      </w:r>
      <w:r>
        <w:rPr>
          <w:rFonts w:hint="eastAsia" w:ascii="仿宋" w:hAnsi="仿宋" w:eastAsia="仿宋"/>
          <w:bCs/>
          <w:color w:val="auto"/>
          <w:sz w:val="32"/>
          <w:szCs w:val="32"/>
        </w:rPr>
        <w:t>生</w:t>
      </w:r>
      <w:r>
        <w:rPr>
          <w:rFonts w:hint="eastAsia" w:ascii="仿宋" w:hAnsi="仿宋" w:eastAsia="仿宋"/>
          <w:bCs/>
          <w:color w:val="auto"/>
          <w:sz w:val="32"/>
          <w:szCs w:val="32"/>
          <w:lang w:eastAsia="zh-CN"/>
        </w:rPr>
        <w:t>民政</w:t>
      </w:r>
      <w:r>
        <w:rPr>
          <w:rFonts w:hint="eastAsia" w:ascii="仿宋" w:hAnsi="仿宋" w:eastAsia="仿宋"/>
          <w:bCs/>
          <w:sz w:val="32"/>
          <w:szCs w:val="32"/>
          <w:lang w:eastAsia="zh-CN"/>
        </w:rPr>
        <w:t>保障体系的客观需要</w:t>
      </w:r>
      <w:r>
        <w:rPr>
          <w:rFonts w:hint="eastAsia" w:ascii="仿宋" w:hAnsi="仿宋" w:eastAsia="仿宋"/>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二、公益性骨灰堂的</w:t>
      </w:r>
      <w:r>
        <w:rPr>
          <w:rFonts w:hint="eastAsia" w:ascii="黑体" w:hAnsi="黑体" w:eastAsia="黑体" w:cs="黑体"/>
          <w:b w:val="0"/>
          <w:bCs/>
          <w:sz w:val="32"/>
          <w:szCs w:val="32"/>
          <w:lang w:eastAsia="zh-CN"/>
        </w:rPr>
        <w:t>规划布局</w:t>
      </w:r>
      <w:r>
        <w:rPr>
          <w:rFonts w:hint="eastAsia" w:ascii="黑体" w:hAnsi="黑体" w:eastAsia="黑体" w:cs="黑体"/>
          <w:b w:val="0"/>
          <w:bCs/>
          <w:sz w:val="32"/>
          <w:szCs w:val="32"/>
        </w:rPr>
        <w:t>及建设</w:t>
      </w:r>
      <w:r>
        <w:rPr>
          <w:rFonts w:hint="eastAsia" w:ascii="黑体" w:hAnsi="黑体" w:eastAsia="黑体" w:cs="黑体"/>
          <w:b w:val="0"/>
          <w:bCs/>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Cs/>
          <w:color w:val="auto"/>
          <w:sz w:val="32"/>
          <w:szCs w:val="32"/>
        </w:rPr>
      </w:pPr>
      <w:r>
        <w:rPr>
          <w:rFonts w:hint="eastAsia" w:ascii="仿宋" w:hAnsi="仿宋" w:eastAsia="仿宋"/>
          <w:bCs/>
          <w:sz w:val="32"/>
          <w:szCs w:val="32"/>
        </w:rPr>
        <w:t>（一）</w:t>
      </w:r>
      <w:r>
        <w:rPr>
          <w:rFonts w:hint="eastAsia" w:eastAsia="楷体"/>
          <w:sz w:val="32"/>
          <w:szCs w:val="40"/>
          <w:lang w:eastAsia="zh-CN"/>
        </w:rPr>
        <w:t>规划布局。</w:t>
      </w:r>
      <w:r>
        <w:rPr>
          <w:rFonts w:hint="eastAsia" w:eastAsia="仿宋" w:cs="仿宋"/>
          <w:sz w:val="32"/>
          <w:szCs w:val="32"/>
          <w:lang w:eastAsia="zh-CN"/>
        </w:rPr>
        <w:t>公益性骨灰堂的规划布局要坚持“</w:t>
      </w:r>
      <w:r>
        <w:rPr>
          <w:rFonts w:hint="eastAsia" w:ascii="仿宋" w:hAnsi="仿宋" w:eastAsia="仿宋"/>
          <w:bCs/>
          <w:sz w:val="32"/>
          <w:szCs w:val="32"/>
        </w:rPr>
        <w:t>便于管理、方便群众、节约土地、</w:t>
      </w:r>
      <w:r>
        <w:rPr>
          <w:rFonts w:hint="eastAsia" w:ascii="仿宋" w:hAnsi="仿宋" w:eastAsia="仿宋"/>
          <w:bCs/>
          <w:color w:val="auto"/>
          <w:sz w:val="32"/>
          <w:szCs w:val="32"/>
        </w:rPr>
        <w:t>提高利用率</w:t>
      </w:r>
      <w:r>
        <w:rPr>
          <w:rFonts w:hint="eastAsia" w:ascii="仿宋" w:hAnsi="仿宋" w:eastAsia="仿宋"/>
          <w:bCs/>
          <w:color w:val="auto"/>
          <w:sz w:val="32"/>
          <w:szCs w:val="32"/>
          <w:lang w:eastAsia="zh-CN"/>
        </w:rPr>
        <w:t>”的原则，</w:t>
      </w:r>
      <w:r>
        <w:rPr>
          <w:rFonts w:hint="eastAsia" w:eastAsia="仿宋" w:cs="仿宋"/>
          <w:color w:val="auto"/>
          <w:sz w:val="32"/>
          <w:szCs w:val="32"/>
          <w:lang w:eastAsia="zh-CN"/>
        </w:rPr>
        <w:t>与具有骨灰存放功能的殡仪馆、殡仪服务中心、公益性墓地统筹规划，并纳入殡葬服务设施专项规划。</w:t>
      </w:r>
      <w:r>
        <w:rPr>
          <w:rFonts w:hint="eastAsia" w:ascii="仿宋" w:hAnsi="仿宋" w:eastAsia="仿宋"/>
          <w:bCs/>
          <w:color w:val="auto"/>
          <w:sz w:val="32"/>
          <w:szCs w:val="32"/>
        </w:rPr>
        <w:t>原则上每个</w:t>
      </w:r>
      <w:r>
        <w:rPr>
          <w:rFonts w:hint="eastAsia" w:ascii="仿宋_GB2312" w:hAnsi="仿宋_GB2312" w:eastAsia="仿宋_GB2312" w:cs="仿宋_GB2312"/>
          <w:sz w:val="32"/>
          <w:szCs w:val="32"/>
        </w:rPr>
        <w:t>街道（乡、镇）</w:t>
      </w:r>
      <w:r>
        <w:rPr>
          <w:rFonts w:hint="eastAsia" w:ascii="仿宋" w:hAnsi="仿宋" w:eastAsia="仿宋"/>
          <w:bCs/>
          <w:color w:val="auto"/>
          <w:sz w:val="32"/>
          <w:szCs w:val="32"/>
        </w:rPr>
        <w:t>建设</w:t>
      </w:r>
      <w:r>
        <w:rPr>
          <w:rFonts w:hint="eastAsia" w:ascii="Times New Roman" w:hAnsi="Times New Roman" w:eastAsia="仿宋" w:cs="Times New Roman"/>
          <w:spacing w:val="-6"/>
          <w:sz w:val="32"/>
          <w:szCs w:val="32"/>
          <w:lang w:val="en-US" w:eastAsia="zh-CN"/>
        </w:rPr>
        <w:t>1</w:t>
      </w:r>
      <w:r>
        <w:rPr>
          <w:rFonts w:hint="eastAsia" w:ascii="仿宋" w:hAnsi="仿宋" w:eastAsia="仿宋"/>
          <w:bCs/>
          <w:color w:val="auto"/>
          <w:sz w:val="32"/>
          <w:szCs w:val="32"/>
        </w:rPr>
        <w:t>个</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地域面积较小，人口数量较少（不足</w:t>
      </w:r>
      <w:r>
        <w:rPr>
          <w:rFonts w:hint="eastAsia" w:ascii="Times New Roman" w:hAnsi="Times New Roman" w:eastAsia="仿宋" w:cs="Times New Roman"/>
          <w:spacing w:val="-6"/>
          <w:sz w:val="32"/>
          <w:szCs w:val="32"/>
          <w:lang w:val="en-US" w:eastAsia="zh-CN"/>
        </w:rPr>
        <w:t>4</w:t>
      </w:r>
      <w:r>
        <w:rPr>
          <w:rFonts w:hint="eastAsia" w:ascii="仿宋" w:hAnsi="仿宋" w:eastAsia="仿宋"/>
          <w:bCs/>
          <w:color w:val="auto"/>
          <w:sz w:val="32"/>
          <w:szCs w:val="32"/>
        </w:rPr>
        <w:t>万）的</w:t>
      </w:r>
      <w:r>
        <w:rPr>
          <w:rFonts w:hint="eastAsia" w:ascii="仿宋_GB2312" w:hAnsi="仿宋_GB2312" w:eastAsia="仿宋_GB2312" w:cs="仿宋_GB2312"/>
          <w:sz w:val="32"/>
          <w:szCs w:val="32"/>
        </w:rPr>
        <w:t>街道（乡、镇）</w:t>
      </w:r>
      <w:r>
        <w:rPr>
          <w:rFonts w:hint="eastAsia" w:ascii="仿宋" w:hAnsi="仿宋" w:eastAsia="仿宋"/>
          <w:bCs/>
          <w:color w:val="auto"/>
          <w:sz w:val="32"/>
          <w:szCs w:val="32"/>
        </w:rPr>
        <w:t>可采取与相邻</w:t>
      </w:r>
      <w:r>
        <w:rPr>
          <w:rFonts w:hint="eastAsia" w:ascii="仿宋_GB2312" w:hAnsi="仿宋_GB2312" w:eastAsia="仿宋_GB2312" w:cs="仿宋_GB2312"/>
          <w:sz w:val="32"/>
          <w:szCs w:val="32"/>
        </w:rPr>
        <w:t>街道（乡、镇）</w:t>
      </w:r>
      <w:r>
        <w:rPr>
          <w:rFonts w:ascii="仿宋" w:hAnsi="仿宋" w:eastAsia="仿宋"/>
          <w:bCs/>
          <w:color w:val="auto"/>
          <w:sz w:val="32"/>
          <w:szCs w:val="32"/>
        </w:rPr>
        <w:t>联建的方式建设</w:t>
      </w:r>
      <w:r>
        <w:rPr>
          <w:rFonts w:hint="eastAsia" w:ascii="仿宋" w:hAnsi="仿宋" w:eastAsia="仿宋"/>
          <w:bCs/>
          <w:color w:val="auto"/>
          <w:sz w:val="32"/>
          <w:szCs w:val="32"/>
        </w:rPr>
        <w:t>。市、区级殡仪馆已规划建设骨灰存放设施的，所在</w:t>
      </w:r>
      <w:r>
        <w:rPr>
          <w:rFonts w:hint="eastAsia" w:ascii="仿宋_GB2312" w:hAnsi="仿宋_GB2312" w:eastAsia="仿宋_GB2312" w:cs="仿宋_GB2312"/>
          <w:sz w:val="32"/>
          <w:szCs w:val="32"/>
        </w:rPr>
        <w:t>街道（乡、镇）</w:t>
      </w:r>
      <w:r>
        <w:rPr>
          <w:rFonts w:hint="eastAsia" w:ascii="仿宋" w:hAnsi="仿宋" w:eastAsia="仿宋"/>
          <w:bCs/>
          <w:color w:val="auto"/>
          <w:sz w:val="32"/>
          <w:szCs w:val="32"/>
        </w:rPr>
        <w:t>不再规划</w:t>
      </w:r>
      <w:r>
        <w:rPr>
          <w:rFonts w:hint="eastAsia" w:ascii="仿宋" w:hAnsi="仿宋" w:eastAsia="仿宋"/>
          <w:bCs/>
          <w:color w:val="auto"/>
          <w:sz w:val="32"/>
          <w:szCs w:val="32"/>
          <w:lang w:eastAsia="zh-CN"/>
        </w:rPr>
        <w:t>新建乡镇</w:t>
      </w:r>
      <w:r>
        <w:rPr>
          <w:rFonts w:hint="eastAsia" w:ascii="仿宋" w:hAnsi="仿宋" w:eastAsia="仿宋"/>
          <w:bCs/>
          <w:color w:val="auto"/>
          <w:sz w:val="32"/>
          <w:szCs w:val="32"/>
        </w:rPr>
        <w:t>级公益性骨灰堂。为便于规范管理</w:t>
      </w:r>
      <w:r>
        <w:rPr>
          <w:rFonts w:hint="eastAsia" w:ascii="仿宋" w:hAnsi="仿宋" w:eastAsia="仿宋"/>
          <w:bCs/>
          <w:color w:val="auto"/>
          <w:sz w:val="32"/>
          <w:szCs w:val="32"/>
          <w:lang w:eastAsia="zh-CN"/>
        </w:rPr>
        <w:t>，节约集约用地，</w:t>
      </w:r>
      <w:r>
        <w:rPr>
          <w:rFonts w:hint="eastAsia" w:eastAsia="仿宋" w:cs="仿宋"/>
          <w:color w:val="auto"/>
          <w:sz w:val="32"/>
          <w:szCs w:val="32"/>
          <w:lang w:eastAsia="zh-CN"/>
        </w:rPr>
        <w:t>原则上不再新建村级公益性骨灰堂。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 w:cs="仿宋"/>
          <w:color w:val="auto"/>
          <w:sz w:val="32"/>
          <w:szCs w:val="32"/>
          <w:lang w:eastAsia="zh-CN"/>
        </w:rPr>
      </w:pPr>
      <w:r>
        <w:rPr>
          <w:rFonts w:hint="eastAsia" w:eastAsia="楷体"/>
          <w:color w:val="auto"/>
          <w:sz w:val="32"/>
          <w:szCs w:val="40"/>
          <w:lang w:eastAsia="zh-CN"/>
        </w:rPr>
        <w:t>（二）占地及建筑面积。</w:t>
      </w:r>
      <w:r>
        <w:rPr>
          <w:rFonts w:hint="eastAsia" w:eastAsia="仿宋" w:cs="仿宋"/>
          <w:color w:val="auto"/>
          <w:sz w:val="32"/>
          <w:szCs w:val="32"/>
          <w:lang w:eastAsia="zh-CN"/>
        </w:rPr>
        <w:t>乡镇级</w:t>
      </w:r>
      <w:r>
        <w:rPr>
          <w:rFonts w:hint="eastAsia" w:ascii="仿宋" w:hAnsi="仿宋" w:eastAsia="仿宋"/>
          <w:bCs/>
          <w:color w:val="auto"/>
          <w:sz w:val="32"/>
          <w:szCs w:val="32"/>
        </w:rPr>
        <w:t>公益性骨灰堂（以服务范围5万人口40年使用周期计算）</w:t>
      </w:r>
      <w:r>
        <w:rPr>
          <w:rFonts w:hint="eastAsia" w:ascii="仿宋" w:hAnsi="仿宋" w:eastAsia="仿宋"/>
          <w:bCs/>
          <w:color w:val="auto"/>
          <w:sz w:val="32"/>
          <w:szCs w:val="32"/>
          <w:lang w:eastAsia="zh-CN"/>
        </w:rPr>
        <w:t>占地面积</w:t>
      </w:r>
      <w:r>
        <w:rPr>
          <w:rFonts w:hint="eastAsia" w:ascii="仿宋" w:hAnsi="仿宋" w:eastAsia="仿宋"/>
          <w:bCs/>
          <w:color w:val="auto"/>
          <w:sz w:val="32"/>
          <w:szCs w:val="32"/>
        </w:rPr>
        <w:t>大于</w:t>
      </w:r>
      <w:r>
        <w:rPr>
          <w:rFonts w:hint="eastAsia" w:ascii="Times New Roman" w:hAnsi="Times New Roman" w:eastAsia="仿宋" w:cs="Times New Roman"/>
          <w:spacing w:val="-6"/>
          <w:sz w:val="32"/>
          <w:szCs w:val="32"/>
          <w:lang w:val="en-US" w:eastAsia="zh-CN"/>
        </w:rPr>
        <w:t>15000</w:t>
      </w:r>
      <w:r>
        <w:rPr>
          <w:rFonts w:hint="eastAsia" w:ascii="仿宋" w:hAnsi="仿宋" w:eastAsia="仿宋"/>
          <w:bCs/>
          <w:color w:val="auto"/>
          <w:sz w:val="32"/>
          <w:szCs w:val="32"/>
        </w:rPr>
        <w:t>平方米为宜</w:t>
      </w:r>
      <w:r>
        <w:rPr>
          <w:rFonts w:hint="eastAsia" w:ascii="仿宋" w:hAnsi="仿宋" w:eastAsia="仿宋"/>
          <w:bCs/>
          <w:color w:val="auto"/>
          <w:sz w:val="32"/>
          <w:szCs w:val="32"/>
          <w:lang w:eastAsia="zh-CN"/>
        </w:rPr>
        <w:t>，并小于乡镇级公益性墓地的用地控制指标</w:t>
      </w:r>
      <w:r>
        <w:rPr>
          <w:rFonts w:hint="eastAsia" w:ascii="Times New Roman" w:hAnsi="Times New Roman" w:eastAsia="仿宋" w:cs="Times New Roman"/>
          <w:spacing w:val="-6"/>
          <w:sz w:val="32"/>
          <w:szCs w:val="32"/>
          <w:lang w:val="en-US" w:eastAsia="zh-CN"/>
        </w:rPr>
        <w:t>3</w:t>
      </w:r>
      <w:r>
        <w:rPr>
          <w:rFonts w:hint="default" w:ascii="Times New Roman" w:hAnsi="Times New Roman" w:eastAsia="仿宋" w:cs="Times New Roman"/>
          <w:spacing w:val="-6"/>
          <w:sz w:val="32"/>
          <w:szCs w:val="32"/>
          <w:lang w:val="en-US" w:eastAsia="zh-CN"/>
        </w:rPr>
        <w:t>5000</w:t>
      </w:r>
      <w:r>
        <w:rPr>
          <w:rFonts w:hint="eastAsia" w:eastAsia="仿宋" w:cs="仿宋"/>
          <w:color w:val="auto"/>
          <w:sz w:val="32"/>
          <w:szCs w:val="32"/>
        </w:rPr>
        <w:t>平方米</w:t>
      </w:r>
      <w:r>
        <w:rPr>
          <w:rFonts w:hint="eastAsia" w:ascii="仿宋" w:hAnsi="仿宋" w:eastAsia="仿宋"/>
          <w:bCs/>
          <w:color w:val="auto"/>
          <w:sz w:val="32"/>
          <w:szCs w:val="32"/>
          <w:lang w:eastAsia="zh-CN"/>
        </w:rPr>
        <w:t>，具体用地规模根据建设数量、所覆盖范围，结合单位用地指标</w:t>
      </w:r>
      <w:r>
        <w:rPr>
          <w:rFonts w:hint="eastAsia" w:eastAsia="仿宋" w:cs="仿宋"/>
          <w:color w:val="auto"/>
          <w:sz w:val="32"/>
          <w:szCs w:val="32"/>
          <w:lang w:val="en-US" w:eastAsia="zh-CN"/>
        </w:rPr>
        <w:t>（即单个</w:t>
      </w:r>
      <w:r>
        <w:rPr>
          <w:rFonts w:hint="eastAsia" w:eastAsia="仿宋" w:cs="仿宋"/>
          <w:color w:val="auto"/>
          <w:sz w:val="32"/>
          <w:szCs w:val="32"/>
          <w:lang w:eastAsia="zh-CN"/>
        </w:rPr>
        <w:t>骨灰存放格位的占地面积，</w:t>
      </w:r>
      <w:r>
        <w:rPr>
          <w:rFonts w:hint="eastAsia" w:eastAsia="仿宋" w:cs="仿宋"/>
          <w:color w:val="auto"/>
          <w:sz w:val="32"/>
          <w:szCs w:val="32"/>
          <w:lang w:val="en-US" w:eastAsia="zh-CN"/>
        </w:rPr>
        <w:t>不包括绿化、通道、停车场等用地；乡镇级公益性骨灰堂</w:t>
      </w:r>
      <w:r>
        <w:rPr>
          <w:rFonts w:hint="eastAsia" w:ascii="仿宋" w:hAnsi="仿宋" w:eastAsia="仿宋"/>
          <w:bCs/>
          <w:color w:val="auto"/>
          <w:sz w:val="32"/>
          <w:szCs w:val="32"/>
          <w:lang w:eastAsia="zh-CN"/>
        </w:rPr>
        <w:t>单位用地指标为</w:t>
      </w:r>
      <w:r>
        <w:rPr>
          <w:rFonts w:hint="eastAsia" w:ascii="Times New Roman" w:hAnsi="Times New Roman" w:eastAsia="仿宋" w:cs="Times New Roman"/>
          <w:spacing w:val="-6"/>
          <w:sz w:val="32"/>
          <w:szCs w:val="32"/>
          <w:lang w:val="en-US" w:eastAsia="zh-CN"/>
        </w:rPr>
        <w:t>0.33</w:t>
      </w:r>
      <w:r>
        <w:rPr>
          <w:rFonts w:hint="eastAsia" w:eastAsia="仿宋" w:cs="仿宋"/>
          <w:color w:val="auto"/>
          <w:sz w:val="32"/>
          <w:szCs w:val="32"/>
          <w:lang w:val="en-US" w:eastAsia="zh-CN"/>
        </w:rPr>
        <w:t>平方米/格位）</w:t>
      </w:r>
      <w:r>
        <w:rPr>
          <w:rFonts w:hint="eastAsia" w:ascii="仿宋" w:hAnsi="仿宋" w:eastAsia="仿宋"/>
          <w:bCs/>
          <w:color w:val="auto"/>
          <w:sz w:val="32"/>
          <w:szCs w:val="32"/>
          <w:lang w:eastAsia="zh-CN"/>
        </w:rPr>
        <w:t>确定。</w:t>
      </w:r>
      <w:r>
        <w:rPr>
          <w:rFonts w:hint="eastAsia" w:eastAsia="仿宋" w:cs="仿宋"/>
          <w:color w:val="auto"/>
          <w:sz w:val="32"/>
          <w:szCs w:val="32"/>
        </w:rPr>
        <w:t>主体骨灰存放楼建筑面积大于</w:t>
      </w:r>
      <w:r>
        <w:rPr>
          <w:rFonts w:hint="eastAsia" w:ascii="Times New Roman" w:hAnsi="Times New Roman" w:eastAsia="仿宋" w:cs="Times New Roman"/>
          <w:spacing w:val="-6"/>
          <w:sz w:val="32"/>
          <w:szCs w:val="32"/>
          <w:lang w:val="en-US" w:eastAsia="zh-CN"/>
        </w:rPr>
        <w:t>3000</w:t>
      </w:r>
      <w:r>
        <w:rPr>
          <w:rFonts w:hint="eastAsia" w:eastAsia="仿宋" w:cs="仿宋"/>
          <w:color w:val="auto"/>
          <w:sz w:val="32"/>
          <w:szCs w:val="32"/>
        </w:rPr>
        <w:t>平方米为宜</w:t>
      </w:r>
      <w:r>
        <w:rPr>
          <w:rFonts w:hint="eastAsia" w:eastAsia="仿宋" w:cs="仿宋"/>
          <w:color w:val="auto"/>
          <w:sz w:val="32"/>
          <w:szCs w:val="32"/>
          <w:lang w:eastAsia="zh-CN"/>
        </w:rPr>
        <w:t>，具体建筑面积根据骨灰存放数量，按照</w:t>
      </w:r>
      <w:r>
        <w:rPr>
          <w:rFonts w:hint="eastAsia" w:ascii="仿宋" w:hAnsi="仿宋" w:eastAsia="仿宋"/>
          <w:bCs/>
          <w:color w:val="auto"/>
          <w:sz w:val="32"/>
          <w:szCs w:val="32"/>
          <w:lang w:eastAsia="zh-CN"/>
        </w:rPr>
        <w:t>《公墓和骨灰寄存建筑设计规范》（JGJ/T397-2016）中骨灰楼的相应类别的建设规模确定，并不超过其上限。</w:t>
      </w:r>
      <w:r>
        <w:rPr>
          <w:rFonts w:hint="eastAsia" w:eastAsia="仿宋" w:cs="仿宋"/>
          <w:color w:val="auto"/>
          <w:sz w:val="32"/>
          <w:szCs w:val="32"/>
        </w:rPr>
        <w:t>区级</w:t>
      </w:r>
      <w:r>
        <w:rPr>
          <w:rFonts w:hint="eastAsia" w:eastAsia="仿宋" w:cs="仿宋"/>
          <w:color w:val="auto"/>
          <w:sz w:val="32"/>
          <w:szCs w:val="32"/>
          <w:lang w:eastAsia="zh-CN"/>
        </w:rPr>
        <w:t>、村级</w:t>
      </w:r>
      <w:r>
        <w:rPr>
          <w:rFonts w:hint="eastAsia" w:ascii="仿宋" w:hAnsi="仿宋" w:eastAsia="仿宋"/>
          <w:bCs/>
          <w:color w:val="auto"/>
          <w:sz w:val="32"/>
          <w:szCs w:val="32"/>
        </w:rPr>
        <w:t>公益性骨灰堂</w:t>
      </w:r>
      <w:r>
        <w:rPr>
          <w:rFonts w:hint="eastAsia" w:ascii="仿宋" w:hAnsi="仿宋" w:eastAsia="仿宋"/>
          <w:bCs/>
          <w:color w:val="auto"/>
          <w:sz w:val="32"/>
          <w:szCs w:val="32"/>
          <w:lang w:eastAsia="zh-CN"/>
        </w:rPr>
        <w:t>按以上原则科学确定用地面积和</w:t>
      </w:r>
      <w:r>
        <w:rPr>
          <w:rFonts w:hint="eastAsia" w:eastAsia="仿宋" w:cs="仿宋"/>
          <w:color w:val="auto"/>
          <w:sz w:val="32"/>
          <w:szCs w:val="32"/>
        </w:rPr>
        <w:t>主体骨灰存放楼建筑面积</w:t>
      </w:r>
      <w:r>
        <w:rPr>
          <w:rFonts w:hint="eastAsia" w:eastAsia="仿宋" w:cs="仿宋"/>
          <w:color w:val="auto"/>
          <w:sz w:val="32"/>
          <w:szCs w:val="32"/>
          <w:lang w:eastAsia="zh-CN"/>
        </w:rPr>
        <w:t>（区级、村级</w:t>
      </w:r>
      <w:r>
        <w:rPr>
          <w:rFonts w:hint="eastAsia" w:ascii="仿宋" w:hAnsi="仿宋" w:eastAsia="仿宋"/>
          <w:bCs/>
          <w:color w:val="auto"/>
          <w:sz w:val="32"/>
          <w:szCs w:val="32"/>
          <w:lang w:eastAsia="zh-CN"/>
        </w:rPr>
        <w:t>公益性墓地用地控制指标分别为</w:t>
      </w:r>
      <w:r>
        <w:rPr>
          <w:rFonts w:hint="eastAsia" w:ascii="Times New Roman" w:hAnsi="Times New Roman" w:eastAsia="仿宋" w:cs="Times New Roman"/>
          <w:spacing w:val="-6"/>
          <w:sz w:val="32"/>
          <w:szCs w:val="32"/>
          <w:lang w:val="en-US" w:eastAsia="zh-CN"/>
        </w:rPr>
        <w:t>335000</w:t>
      </w:r>
      <w:r>
        <w:rPr>
          <w:rFonts w:hint="eastAsia" w:eastAsia="仿宋" w:cs="仿宋"/>
          <w:color w:val="auto"/>
          <w:sz w:val="32"/>
          <w:szCs w:val="32"/>
        </w:rPr>
        <w:t>平方米</w:t>
      </w:r>
      <w:r>
        <w:rPr>
          <w:rFonts w:hint="eastAsia" w:eastAsia="仿宋" w:cs="仿宋"/>
          <w:color w:val="auto"/>
          <w:sz w:val="32"/>
          <w:szCs w:val="32"/>
          <w:lang w:eastAsia="zh-CN"/>
        </w:rPr>
        <w:t>、</w:t>
      </w:r>
      <w:r>
        <w:rPr>
          <w:rFonts w:hint="eastAsia" w:ascii="Times New Roman" w:hAnsi="Times New Roman" w:eastAsia="仿宋" w:cs="Times New Roman"/>
          <w:spacing w:val="-6"/>
          <w:sz w:val="32"/>
          <w:szCs w:val="32"/>
          <w:lang w:val="en-US" w:eastAsia="zh-CN"/>
        </w:rPr>
        <w:t>7000</w:t>
      </w:r>
      <w:r>
        <w:rPr>
          <w:rFonts w:hint="eastAsia" w:eastAsia="仿宋" w:cs="仿宋"/>
          <w:color w:val="auto"/>
          <w:sz w:val="32"/>
          <w:szCs w:val="32"/>
          <w:lang w:val="en-US" w:eastAsia="zh-CN"/>
        </w:rPr>
        <w:t>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bCs/>
          <w:color w:val="auto"/>
          <w:sz w:val="32"/>
          <w:szCs w:val="32"/>
          <w:lang w:eastAsia="zh-CN"/>
        </w:rPr>
      </w:pPr>
      <w:r>
        <w:rPr>
          <w:rFonts w:hint="eastAsia" w:eastAsia="楷体"/>
          <w:color w:val="auto"/>
          <w:sz w:val="32"/>
          <w:szCs w:val="40"/>
          <w:lang w:eastAsia="zh-CN"/>
        </w:rPr>
        <w:t>（三）建筑风格。</w:t>
      </w:r>
      <w:r>
        <w:rPr>
          <w:rFonts w:hint="eastAsia" w:ascii="仿宋" w:hAnsi="仿宋" w:eastAsia="仿宋"/>
          <w:bCs/>
          <w:color w:val="auto"/>
          <w:sz w:val="32"/>
          <w:szCs w:val="32"/>
          <w:lang w:eastAsia="zh-CN"/>
        </w:rPr>
        <w:t>建筑立面风格应采用中式陵园风格，颜色应以青灰色为主，一般不高于</w:t>
      </w:r>
      <w:r>
        <w:rPr>
          <w:rFonts w:hint="eastAsia" w:ascii="仿宋" w:hAnsi="仿宋" w:eastAsia="仿宋"/>
          <w:bCs/>
          <w:color w:val="auto"/>
          <w:sz w:val="32"/>
          <w:szCs w:val="32"/>
          <w:lang w:val="en-US" w:eastAsia="zh-CN"/>
        </w:rPr>
        <w:t>3层</w:t>
      </w:r>
      <w:r>
        <w:rPr>
          <w:rFonts w:hint="eastAsia" w:ascii="仿宋" w:hAnsi="仿宋" w:eastAsia="仿宋"/>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Cs/>
          <w:color w:val="auto"/>
          <w:sz w:val="32"/>
          <w:szCs w:val="32"/>
          <w:lang w:eastAsia="zh-CN"/>
        </w:rPr>
      </w:pPr>
      <w:r>
        <w:rPr>
          <w:rFonts w:hint="eastAsia" w:eastAsia="楷体"/>
          <w:color w:val="auto"/>
          <w:sz w:val="32"/>
          <w:szCs w:val="40"/>
          <w:lang w:eastAsia="zh-CN"/>
        </w:rPr>
        <w:t>（四）建筑规范。</w:t>
      </w:r>
      <w:r>
        <w:rPr>
          <w:rFonts w:hint="eastAsia" w:ascii="仿宋" w:hAnsi="仿宋" w:eastAsia="仿宋"/>
          <w:bCs/>
          <w:color w:val="auto"/>
          <w:sz w:val="32"/>
          <w:szCs w:val="32"/>
          <w:lang w:eastAsia="zh-CN"/>
        </w:rPr>
        <w:t>参照《公墓和骨灰寄存建筑设计规范》（JGJ/T397-2016）及《城市公益性公墓建设标准》（建标</w:t>
      </w:r>
      <w:r>
        <w:rPr>
          <w:rFonts w:hint="eastAsia" w:ascii="仿宋" w:hAnsi="仿宋" w:eastAsia="仿宋"/>
          <w:bCs/>
          <w:color w:val="auto"/>
          <w:sz w:val="32"/>
          <w:szCs w:val="32"/>
          <w:lang w:val="en-US" w:eastAsia="zh-CN"/>
        </w:rPr>
        <w:t>182-2017</w:t>
      </w:r>
      <w:r>
        <w:rPr>
          <w:rFonts w:hint="eastAsia" w:ascii="仿宋" w:hAnsi="仿宋" w:eastAsia="仿宋"/>
          <w:bCs/>
          <w:color w:val="auto"/>
          <w:sz w:val="32"/>
          <w:szCs w:val="32"/>
          <w:lang w:eastAsia="zh-CN"/>
        </w:rPr>
        <w:t>）中关于骨灰存放建筑的相关内容执行，确保建筑质量和使用安全。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Cs/>
          <w:color w:val="auto"/>
          <w:sz w:val="32"/>
          <w:szCs w:val="32"/>
          <w:lang w:eastAsia="zh-CN"/>
        </w:rPr>
      </w:pPr>
      <w:r>
        <w:rPr>
          <w:rFonts w:hint="eastAsia" w:eastAsia="楷体"/>
          <w:color w:val="auto"/>
          <w:sz w:val="32"/>
          <w:szCs w:val="40"/>
          <w:lang w:eastAsia="zh-CN"/>
        </w:rPr>
        <w:t>（五）其他要求。</w:t>
      </w:r>
      <w:r>
        <w:rPr>
          <w:rFonts w:hint="eastAsia" w:ascii="仿宋" w:hAnsi="仿宋" w:eastAsia="仿宋"/>
          <w:bCs/>
          <w:color w:val="auto"/>
          <w:sz w:val="32"/>
          <w:szCs w:val="32"/>
          <w:lang w:eastAsia="zh-CN"/>
        </w:rPr>
        <w:t>禁止构建带有封建迷信色彩和法律法规不允许的丧葬活动的设备设施。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三</w:t>
      </w:r>
      <w:r>
        <w:rPr>
          <w:rFonts w:hint="eastAsia" w:ascii="黑体" w:hAnsi="黑体" w:eastAsia="黑体" w:cs="黑体"/>
          <w:b w:val="0"/>
          <w:bCs/>
          <w:color w:val="auto"/>
          <w:sz w:val="32"/>
          <w:szCs w:val="32"/>
        </w:rPr>
        <w:t>、</w:t>
      </w:r>
      <w:r>
        <w:rPr>
          <w:rFonts w:hint="eastAsia" w:ascii="黑体" w:hAnsi="黑体" w:eastAsia="黑体" w:cs="黑体"/>
          <w:b w:val="0"/>
          <w:bCs/>
          <w:color w:val="auto"/>
          <w:sz w:val="32"/>
          <w:szCs w:val="32"/>
          <w:lang w:eastAsia="zh-CN"/>
        </w:rPr>
        <w:t>设立</w:t>
      </w:r>
      <w:r>
        <w:rPr>
          <w:rFonts w:hint="eastAsia" w:ascii="黑体" w:hAnsi="黑体" w:eastAsia="黑体" w:cs="黑体"/>
          <w:b w:val="0"/>
          <w:bCs/>
          <w:color w:val="auto"/>
          <w:sz w:val="32"/>
          <w:szCs w:val="32"/>
        </w:rPr>
        <w:t>公益性骨灰堂</w:t>
      </w:r>
      <w:r>
        <w:rPr>
          <w:rFonts w:hint="eastAsia" w:ascii="黑体" w:hAnsi="黑体" w:eastAsia="黑体" w:cs="黑体"/>
          <w:b w:val="0"/>
          <w:bCs/>
          <w:color w:val="auto"/>
          <w:sz w:val="32"/>
          <w:szCs w:val="32"/>
          <w:lang w:eastAsia="zh-CN"/>
        </w:rPr>
        <w:t>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lang w:eastAsia="zh-CN"/>
        </w:rPr>
      </w:pPr>
      <w:r>
        <w:rPr>
          <w:rFonts w:hint="eastAsia" w:eastAsia="楷体"/>
          <w:color w:val="auto"/>
          <w:sz w:val="32"/>
          <w:szCs w:val="40"/>
          <w:lang w:eastAsia="zh-CN"/>
        </w:rPr>
        <w:t>（一）申请条件。</w:t>
      </w:r>
      <w:r>
        <w:rPr>
          <w:rFonts w:hint="eastAsia" w:ascii="仿宋" w:hAnsi="仿宋" w:eastAsia="仿宋" w:cs="仿宋"/>
          <w:b w:val="0"/>
          <w:bCs/>
          <w:color w:val="auto"/>
          <w:sz w:val="32"/>
          <w:szCs w:val="32"/>
          <w:lang w:eastAsia="zh-CN"/>
        </w:rPr>
        <w:t>符合本区殡葬服务设施专项规划和国土空间利用规划。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lang w:eastAsia="zh-CN"/>
        </w:rPr>
      </w:pPr>
      <w:r>
        <w:rPr>
          <w:rFonts w:hint="eastAsia" w:eastAsia="楷体"/>
          <w:color w:val="auto"/>
          <w:sz w:val="32"/>
          <w:szCs w:val="40"/>
          <w:lang w:eastAsia="zh-CN"/>
        </w:rPr>
        <w:t>（二）申请材料。</w:t>
      </w:r>
      <w:r>
        <w:rPr>
          <w:rFonts w:hint="eastAsia" w:ascii="仿宋" w:hAnsi="仿宋" w:eastAsia="仿宋" w:cs="仿宋"/>
          <w:b w:val="0"/>
          <w:bCs/>
          <w:color w:val="auto"/>
          <w:sz w:val="32"/>
          <w:szCs w:val="32"/>
          <w:lang w:eastAsia="zh-CN"/>
        </w:rPr>
        <w:t>开办单位的申请；规划和自然资源部门出具的《用地预算与选址意见书》；街道办事处、乡镇人民政府审核意见。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lang w:eastAsia="zh-CN"/>
        </w:rPr>
      </w:pPr>
      <w:r>
        <w:rPr>
          <w:rFonts w:hint="eastAsia" w:eastAsia="楷体"/>
          <w:color w:val="auto"/>
          <w:sz w:val="32"/>
          <w:szCs w:val="40"/>
          <w:lang w:eastAsia="zh-CN"/>
        </w:rPr>
        <w:t>（三）申请办理。</w:t>
      </w:r>
      <w:r>
        <w:rPr>
          <w:rFonts w:hint="eastAsia" w:ascii="仿宋" w:hAnsi="仿宋" w:eastAsia="仿宋" w:cs="仿宋"/>
          <w:b w:val="0"/>
          <w:bCs/>
          <w:color w:val="auto"/>
          <w:sz w:val="32"/>
          <w:szCs w:val="32"/>
          <w:lang w:eastAsia="zh-CN"/>
        </w:rPr>
        <w:t>开办单位携带申请材料，到区政务服务办提出申请。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lang w:eastAsia="zh-CN"/>
        </w:rPr>
      </w:pPr>
      <w:r>
        <w:rPr>
          <w:rFonts w:hint="eastAsia" w:eastAsia="楷体"/>
          <w:color w:val="auto"/>
          <w:sz w:val="32"/>
          <w:szCs w:val="40"/>
          <w:lang w:eastAsia="zh-CN"/>
        </w:rPr>
        <w:t>（四）行政许可。</w:t>
      </w:r>
      <w:r>
        <w:rPr>
          <w:rFonts w:hint="eastAsia" w:ascii="仿宋" w:hAnsi="仿宋" w:eastAsia="仿宋" w:cs="仿宋"/>
          <w:b w:val="0"/>
          <w:bCs/>
          <w:color w:val="auto"/>
          <w:sz w:val="32"/>
          <w:szCs w:val="32"/>
          <w:lang w:eastAsia="zh-CN"/>
        </w:rPr>
        <w:t>区政务服务办审核同意后，作出行政许可。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color w:val="auto"/>
          <w:sz w:val="32"/>
          <w:szCs w:val="32"/>
          <w:lang w:eastAsia="zh-CN"/>
        </w:rPr>
      </w:pPr>
      <w:r>
        <w:rPr>
          <w:rFonts w:hint="eastAsia" w:eastAsia="楷体"/>
          <w:color w:val="auto"/>
          <w:sz w:val="32"/>
          <w:szCs w:val="40"/>
          <w:lang w:eastAsia="zh-CN"/>
        </w:rPr>
        <w:t>（五）建设运营。</w:t>
      </w:r>
      <w:r>
        <w:rPr>
          <w:rFonts w:hint="eastAsia" w:ascii="仿宋" w:hAnsi="仿宋" w:eastAsia="仿宋" w:cs="仿宋"/>
          <w:color w:val="auto"/>
          <w:sz w:val="32"/>
          <w:szCs w:val="32"/>
          <w:lang w:eastAsia="zh-CN"/>
        </w:rPr>
        <w:t>开办单位依法办理立项</w:t>
      </w:r>
      <w:r>
        <w:rPr>
          <w:rFonts w:hint="eastAsia" w:ascii="Times New Roman" w:hAnsi="Times New Roman" w:eastAsia="仿宋" w:cs="仿宋"/>
          <w:color w:val="auto"/>
          <w:sz w:val="32"/>
          <w:szCs w:val="32"/>
          <w:lang w:eastAsia="zh-CN"/>
        </w:rPr>
        <w:t>、规划、用地、建设施工、验收等手续后，按照殡葬管理等相关规定开展服务工作。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四</w:t>
      </w:r>
      <w:r>
        <w:rPr>
          <w:rFonts w:hint="eastAsia" w:ascii="黑体" w:hAnsi="黑体" w:eastAsia="黑体" w:cs="黑体"/>
          <w:b w:val="0"/>
          <w:bCs/>
          <w:color w:val="auto"/>
          <w:sz w:val="32"/>
          <w:szCs w:val="32"/>
        </w:rPr>
        <w:t>、公益性骨灰堂的</w:t>
      </w:r>
      <w:r>
        <w:rPr>
          <w:rFonts w:hint="eastAsia" w:ascii="黑体" w:hAnsi="黑体" w:eastAsia="黑体" w:cs="黑体"/>
          <w:b w:val="0"/>
          <w:bCs/>
          <w:color w:val="auto"/>
          <w:sz w:val="32"/>
          <w:szCs w:val="32"/>
          <w:lang w:eastAsia="zh-CN"/>
        </w:rPr>
        <w:t>管理运营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Cs/>
          <w:color w:val="auto"/>
          <w:sz w:val="32"/>
          <w:szCs w:val="32"/>
        </w:rPr>
      </w:pPr>
      <w:r>
        <w:rPr>
          <w:rFonts w:hint="eastAsia" w:eastAsia="楷体"/>
          <w:color w:val="auto"/>
          <w:sz w:val="32"/>
          <w:szCs w:val="40"/>
          <w:lang w:eastAsia="zh-CN"/>
        </w:rPr>
        <w:t>（一）投资管理。</w:t>
      </w:r>
      <w:r>
        <w:rPr>
          <w:rFonts w:hint="eastAsia" w:ascii="仿宋" w:hAnsi="仿宋" w:eastAsia="仿宋"/>
          <w:bCs/>
          <w:color w:val="auto"/>
          <w:sz w:val="32"/>
          <w:szCs w:val="32"/>
          <w:lang w:eastAsia="zh-CN"/>
        </w:rPr>
        <w:t>由</w:t>
      </w:r>
      <w:r>
        <w:rPr>
          <w:rFonts w:hint="eastAsia" w:ascii="Times New Roman" w:hAnsi="Times New Roman" w:eastAsia="仿宋" w:cs="仿宋"/>
          <w:color w:val="auto"/>
          <w:sz w:val="32"/>
          <w:szCs w:val="32"/>
        </w:rPr>
        <w:t>各级政府统筹利用政府一般债券、一般公共预算、彩票公益金</w:t>
      </w:r>
      <w:r>
        <w:rPr>
          <w:rFonts w:hint="eastAsia" w:ascii="Times New Roman" w:hAnsi="Times New Roman" w:eastAsia="仿宋" w:cs="仿宋"/>
          <w:color w:val="auto"/>
          <w:sz w:val="32"/>
          <w:szCs w:val="32"/>
          <w:lang w:eastAsia="zh-CN"/>
        </w:rPr>
        <w:t>投资建设公益性骨灰堂</w:t>
      </w:r>
      <w:r>
        <w:rPr>
          <w:rFonts w:hint="eastAsia" w:ascii="Times New Roman" w:hAnsi="Times New Roman" w:eastAsia="仿宋" w:cs="仿宋"/>
          <w:color w:val="auto"/>
          <w:sz w:val="32"/>
          <w:szCs w:val="32"/>
        </w:rPr>
        <w:t>和</w:t>
      </w:r>
      <w:r>
        <w:rPr>
          <w:rFonts w:hint="eastAsia" w:ascii="Times New Roman" w:hAnsi="Times New Roman" w:eastAsia="仿宋" w:cs="仿宋"/>
          <w:color w:val="auto"/>
          <w:sz w:val="32"/>
          <w:szCs w:val="32"/>
          <w:lang w:eastAsia="zh-CN"/>
        </w:rPr>
        <w:t>相关</w:t>
      </w:r>
      <w:r>
        <w:rPr>
          <w:rFonts w:hint="eastAsia" w:ascii="Times New Roman" w:hAnsi="Times New Roman" w:eastAsia="仿宋" w:cs="仿宋"/>
          <w:color w:val="auto"/>
          <w:sz w:val="32"/>
          <w:szCs w:val="32"/>
        </w:rPr>
        <w:t>设备购置</w:t>
      </w:r>
      <w:r>
        <w:rPr>
          <w:rFonts w:hint="eastAsia" w:ascii="Times New Roman" w:hAnsi="Times New Roman" w:eastAsia="仿宋" w:cs="仿宋"/>
          <w:color w:val="auto"/>
          <w:sz w:val="32"/>
          <w:szCs w:val="32"/>
          <w:lang w:eastAsia="zh-CN"/>
        </w:rPr>
        <w:t>。根据设施层级，</w:t>
      </w:r>
      <w:r>
        <w:rPr>
          <w:rFonts w:hint="eastAsia" w:ascii="仿宋" w:hAnsi="仿宋" w:eastAsia="仿宋"/>
          <w:bCs/>
          <w:color w:val="auto"/>
          <w:sz w:val="32"/>
          <w:szCs w:val="32"/>
        </w:rPr>
        <w:t>管理上由</w:t>
      </w:r>
      <w:r>
        <w:rPr>
          <w:rFonts w:hint="eastAsia" w:ascii="仿宋" w:hAnsi="仿宋" w:eastAsia="仿宋"/>
          <w:bCs/>
          <w:color w:val="auto"/>
          <w:sz w:val="32"/>
          <w:szCs w:val="32"/>
          <w:lang w:eastAsia="zh-CN"/>
        </w:rPr>
        <w:t>区</w:t>
      </w:r>
      <w:r>
        <w:rPr>
          <w:rFonts w:hint="eastAsia" w:ascii="仿宋" w:hAnsi="仿宋" w:eastAsia="仿宋"/>
          <w:bCs/>
          <w:color w:val="auto"/>
          <w:sz w:val="32"/>
          <w:szCs w:val="32"/>
        </w:rPr>
        <w:t>民政部门或街</w:t>
      </w:r>
      <w:r>
        <w:rPr>
          <w:rFonts w:hint="eastAsia" w:ascii="仿宋" w:hAnsi="仿宋" w:eastAsia="仿宋"/>
          <w:bCs/>
          <w:color w:val="auto"/>
          <w:sz w:val="32"/>
          <w:szCs w:val="32"/>
          <w:lang w:eastAsia="zh-CN"/>
        </w:rPr>
        <w:t>道（</w:t>
      </w:r>
      <w:r>
        <w:rPr>
          <w:rFonts w:hint="eastAsia" w:ascii="仿宋" w:hAnsi="仿宋" w:eastAsia="仿宋"/>
          <w:bCs/>
          <w:color w:val="auto"/>
          <w:sz w:val="32"/>
          <w:szCs w:val="32"/>
        </w:rPr>
        <w:t>乡</w:t>
      </w:r>
      <w:r>
        <w:rPr>
          <w:rFonts w:hint="eastAsia" w:ascii="仿宋" w:hAnsi="仿宋" w:eastAsia="仿宋"/>
          <w:bCs/>
          <w:color w:val="auto"/>
          <w:sz w:val="32"/>
          <w:szCs w:val="32"/>
          <w:lang w:eastAsia="zh-CN"/>
        </w:rPr>
        <w:t>、</w:t>
      </w:r>
      <w:r>
        <w:rPr>
          <w:rFonts w:hint="eastAsia" w:ascii="仿宋" w:hAnsi="仿宋" w:eastAsia="仿宋"/>
          <w:bCs/>
          <w:color w:val="auto"/>
          <w:sz w:val="32"/>
          <w:szCs w:val="32"/>
        </w:rPr>
        <w:t>镇</w:t>
      </w:r>
      <w:r>
        <w:rPr>
          <w:rFonts w:hint="eastAsia" w:ascii="仿宋" w:hAnsi="仿宋" w:eastAsia="仿宋"/>
          <w:bCs/>
          <w:color w:val="auto"/>
          <w:sz w:val="32"/>
          <w:szCs w:val="32"/>
          <w:lang w:eastAsia="zh-CN"/>
        </w:rPr>
        <w:t>）负责</w:t>
      </w:r>
      <w:r>
        <w:rPr>
          <w:rFonts w:hint="eastAsia" w:ascii="仿宋" w:hAnsi="仿宋" w:eastAsia="仿宋"/>
          <w:bCs/>
          <w:color w:val="auto"/>
          <w:sz w:val="32"/>
          <w:szCs w:val="32"/>
        </w:rPr>
        <w:t>管理</w:t>
      </w:r>
      <w:r>
        <w:rPr>
          <w:rFonts w:hint="eastAsia" w:ascii="仿宋" w:hAnsi="仿宋" w:eastAsia="仿宋"/>
          <w:bCs/>
          <w:color w:val="auto"/>
          <w:sz w:val="32"/>
          <w:szCs w:val="32"/>
          <w:lang w:eastAsia="zh-CN"/>
        </w:rPr>
        <w:t>，或委托相关机构管理并加强对委托机构管理的检查指导。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Cs/>
          <w:color w:val="auto"/>
          <w:sz w:val="32"/>
          <w:szCs w:val="32"/>
          <w:lang w:eastAsia="zh-CN"/>
        </w:rPr>
      </w:pPr>
      <w:r>
        <w:rPr>
          <w:rFonts w:hint="eastAsia" w:eastAsia="楷体"/>
          <w:color w:val="auto"/>
          <w:sz w:val="32"/>
          <w:szCs w:val="40"/>
          <w:lang w:eastAsia="zh-CN"/>
        </w:rPr>
        <w:t>（二）加强收费管理。</w:t>
      </w:r>
      <w:r>
        <w:rPr>
          <w:rFonts w:hint="eastAsia" w:eastAsia="仿宋" w:cs="仿宋"/>
          <w:color w:val="auto"/>
          <w:sz w:val="32"/>
          <w:szCs w:val="32"/>
          <w:lang w:eastAsia="zh-CN"/>
        </w:rPr>
        <w:t>公益性骨灰堂应</w:t>
      </w:r>
      <w:r>
        <w:rPr>
          <w:rFonts w:hint="eastAsia" w:ascii="Times New Roman" w:hAnsi="Times New Roman" w:eastAsia="仿宋" w:cs="仿宋"/>
          <w:color w:val="auto"/>
          <w:sz w:val="32"/>
          <w:szCs w:val="32"/>
          <w:lang w:eastAsia="zh-CN"/>
        </w:rPr>
        <w:t>按照非盈利并兼顾居民承受能力的原则，结合本地区实际确定收费价格，规范收费，</w:t>
      </w:r>
      <w:r>
        <w:rPr>
          <w:rFonts w:hint="eastAsia" w:ascii="仿宋" w:hAnsi="仿宋" w:eastAsia="仿宋"/>
          <w:bCs/>
          <w:color w:val="auto"/>
          <w:sz w:val="32"/>
          <w:szCs w:val="32"/>
          <w:lang w:eastAsia="zh-CN"/>
        </w:rPr>
        <w:t>并对外公开公示，接受社会监督，确保资金使用规范。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Cs/>
          <w:sz w:val="32"/>
          <w:szCs w:val="32"/>
          <w:lang w:eastAsia="zh-CN"/>
        </w:rPr>
      </w:pPr>
      <w:r>
        <w:rPr>
          <w:rFonts w:hint="eastAsia" w:eastAsia="楷体"/>
          <w:color w:val="auto"/>
          <w:sz w:val="32"/>
          <w:szCs w:val="40"/>
          <w:lang w:eastAsia="zh-CN"/>
        </w:rPr>
        <w:t>（三）规范服务管理。</w:t>
      </w:r>
      <w:r>
        <w:rPr>
          <w:rFonts w:hint="eastAsia" w:eastAsia="仿宋" w:cs="仿宋"/>
          <w:color w:val="auto"/>
          <w:sz w:val="32"/>
          <w:szCs w:val="32"/>
          <w:lang w:eastAsia="zh-CN"/>
        </w:rPr>
        <w:t>公益性骨灰堂要建立健全管理、服务制度，</w:t>
      </w:r>
      <w:r>
        <w:rPr>
          <w:rFonts w:hint="eastAsia" w:ascii="仿宋" w:hAnsi="仿宋" w:eastAsia="仿宋"/>
          <w:bCs/>
          <w:color w:val="auto"/>
          <w:sz w:val="32"/>
          <w:szCs w:val="32"/>
          <w:lang w:eastAsia="zh-CN"/>
        </w:rPr>
        <w:t>加强服务人员培训，提高服务质量，注重环境绿化美化，保持整洁肃穆。引导群众文明低碳祭扫，禁止从事封建迷信活动。区民政局、</w:t>
      </w:r>
      <w:r>
        <w:rPr>
          <w:rFonts w:hint="eastAsia" w:eastAsia="仿宋" w:cs="仿宋"/>
          <w:color w:val="auto"/>
          <w:sz w:val="32"/>
          <w:szCs w:val="32"/>
          <w:lang w:eastAsia="zh-CN"/>
        </w:rPr>
        <w:t>公益性骨灰堂所属街道（乡、镇）政府或</w:t>
      </w:r>
      <w:r>
        <w:rPr>
          <w:rFonts w:hint="eastAsia" w:eastAsia="仿宋" w:cs="仿宋"/>
          <w:sz w:val="32"/>
          <w:szCs w:val="32"/>
          <w:lang w:eastAsia="zh-CN"/>
        </w:rPr>
        <w:t>居（</w:t>
      </w:r>
      <w:r>
        <w:rPr>
          <w:rFonts w:hint="eastAsia" w:eastAsia="仿宋" w:cs="仿宋"/>
          <w:color w:val="auto"/>
          <w:sz w:val="32"/>
          <w:szCs w:val="32"/>
          <w:lang w:eastAsia="zh-CN"/>
        </w:rPr>
        <w:t>村</w:t>
      </w:r>
      <w:r>
        <w:rPr>
          <w:rFonts w:hint="eastAsia" w:eastAsia="仿宋" w:cs="仿宋"/>
          <w:sz w:val="32"/>
          <w:szCs w:val="32"/>
          <w:lang w:eastAsia="zh-CN"/>
        </w:rPr>
        <w:t>）委会要履职尽责，加强</w:t>
      </w:r>
      <w:r>
        <w:rPr>
          <w:rFonts w:hint="eastAsia" w:ascii="仿宋" w:hAnsi="仿宋" w:eastAsia="仿宋"/>
          <w:bCs/>
          <w:sz w:val="32"/>
          <w:szCs w:val="32"/>
          <w:lang w:eastAsia="zh-CN"/>
        </w:rPr>
        <w:t>监督管理，确保公益性骨灰堂规范服务，维护群众的合法权益。</w:t>
      </w:r>
    </w:p>
    <w:p>
      <w:pPr>
        <w:pStyle w:val="2"/>
        <w:rPr>
          <w:rFonts w:hint="eastAsia" w:ascii="仿宋" w:hAnsi="仿宋" w:eastAsia="仿宋"/>
          <w:bCs/>
          <w:sz w:val="32"/>
          <w:szCs w:val="32"/>
          <w:lang w:eastAsia="zh-CN"/>
        </w:rPr>
      </w:pPr>
    </w:p>
    <w:p>
      <w:pPr>
        <w:pStyle w:val="2"/>
        <w:rPr>
          <w:rFonts w:hint="eastAsia" w:ascii="仿宋" w:hAnsi="仿宋" w:eastAsia="仿宋"/>
          <w:bCs/>
          <w:sz w:val="32"/>
          <w:szCs w:val="32"/>
          <w:lang w:eastAsia="zh-CN"/>
        </w:rPr>
      </w:pPr>
    </w:p>
    <w:p>
      <w:pPr>
        <w:pStyle w:val="2"/>
        <w:rPr>
          <w:rFonts w:hint="eastAsia" w:ascii="仿宋" w:hAnsi="仿宋" w:eastAsia="仿宋"/>
          <w:bCs/>
          <w:sz w:val="32"/>
          <w:szCs w:val="32"/>
          <w:lang w:eastAsia="zh-CN"/>
        </w:rPr>
      </w:pPr>
    </w:p>
    <w:p>
      <w:pPr>
        <w:pStyle w:val="2"/>
        <w:ind w:firstLine="5440" w:firstLineChars="1700"/>
        <w:rPr>
          <w:rFonts w:hint="default" w:ascii="仿宋" w:hAnsi="仿宋" w:eastAsia="仿宋"/>
          <w:bCs/>
          <w:sz w:val="32"/>
          <w:szCs w:val="32"/>
          <w:lang w:val="en-US" w:eastAsia="zh-CN"/>
        </w:rPr>
      </w:pPr>
      <w:bookmarkStart w:id="0" w:name="_GoBack"/>
      <w:bookmarkEnd w:id="0"/>
      <w:r>
        <w:rPr>
          <w:rFonts w:hint="eastAsia" w:ascii="仿宋" w:hAnsi="仿宋" w:eastAsia="仿宋"/>
          <w:bCs/>
          <w:sz w:val="32"/>
          <w:szCs w:val="32"/>
          <w:lang w:val="en-US" w:eastAsia="zh-CN"/>
        </w:rPr>
        <w:t>2020年12月8日</w:t>
      </w:r>
    </w:p>
    <w:sectPr>
      <w:footerReference r:id="rId3" w:type="default"/>
      <w:pgSz w:w="11906" w:h="16838"/>
      <w:pgMar w:top="2098" w:right="1587" w:bottom="1984" w:left="1587" w:header="851" w:footer="1219"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sz w:val="24"/>
                              <w:szCs w:val="24"/>
                              <w:lang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sz w:val="24"/>
                        <w:szCs w:val="24"/>
                        <w:lang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A5CDF"/>
    <w:rsid w:val="01566B23"/>
    <w:rsid w:val="0205226C"/>
    <w:rsid w:val="02FA74B2"/>
    <w:rsid w:val="05C0040E"/>
    <w:rsid w:val="069778B1"/>
    <w:rsid w:val="070A7614"/>
    <w:rsid w:val="07FD26FC"/>
    <w:rsid w:val="084A4326"/>
    <w:rsid w:val="084C71EF"/>
    <w:rsid w:val="0873056F"/>
    <w:rsid w:val="0AC66178"/>
    <w:rsid w:val="0BA8420F"/>
    <w:rsid w:val="0DEF28DB"/>
    <w:rsid w:val="0DF31FBF"/>
    <w:rsid w:val="0E383DD1"/>
    <w:rsid w:val="10465690"/>
    <w:rsid w:val="187A20A4"/>
    <w:rsid w:val="1AAA0CF5"/>
    <w:rsid w:val="202917C5"/>
    <w:rsid w:val="20C537AA"/>
    <w:rsid w:val="214744F8"/>
    <w:rsid w:val="22071F98"/>
    <w:rsid w:val="24DD3E30"/>
    <w:rsid w:val="26C866B0"/>
    <w:rsid w:val="279E1524"/>
    <w:rsid w:val="284A068F"/>
    <w:rsid w:val="28CC4811"/>
    <w:rsid w:val="290A19C3"/>
    <w:rsid w:val="2A254AEF"/>
    <w:rsid w:val="2B705BF2"/>
    <w:rsid w:val="2D393F5E"/>
    <w:rsid w:val="2DD00869"/>
    <w:rsid w:val="2E4E6191"/>
    <w:rsid w:val="2F4146D0"/>
    <w:rsid w:val="2F6343A4"/>
    <w:rsid w:val="331B33EE"/>
    <w:rsid w:val="3517536C"/>
    <w:rsid w:val="3527437D"/>
    <w:rsid w:val="35C36A94"/>
    <w:rsid w:val="35F50EB6"/>
    <w:rsid w:val="36526D9A"/>
    <w:rsid w:val="384D7ABB"/>
    <w:rsid w:val="3891575B"/>
    <w:rsid w:val="3D6560E2"/>
    <w:rsid w:val="3E4053EE"/>
    <w:rsid w:val="432748A4"/>
    <w:rsid w:val="444568D4"/>
    <w:rsid w:val="46732243"/>
    <w:rsid w:val="49EC23C8"/>
    <w:rsid w:val="49F3721C"/>
    <w:rsid w:val="4A4029EE"/>
    <w:rsid w:val="4FAD35C0"/>
    <w:rsid w:val="50AD733A"/>
    <w:rsid w:val="514F43AE"/>
    <w:rsid w:val="522C0DD6"/>
    <w:rsid w:val="53A01DFF"/>
    <w:rsid w:val="54664B81"/>
    <w:rsid w:val="55F90F93"/>
    <w:rsid w:val="55FB7721"/>
    <w:rsid w:val="57166075"/>
    <w:rsid w:val="576F6F02"/>
    <w:rsid w:val="593241BE"/>
    <w:rsid w:val="59772353"/>
    <w:rsid w:val="5B9C617A"/>
    <w:rsid w:val="5BB47710"/>
    <w:rsid w:val="5D8C7A7F"/>
    <w:rsid w:val="5FC54120"/>
    <w:rsid w:val="60821AF6"/>
    <w:rsid w:val="60AB301F"/>
    <w:rsid w:val="60FE42F8"/>
    <w:rsid w:val="615B669E"/>
    <w:rsid w:val="62231897"/>
    <w:rsid w:val="62A94860"/>
    <w:rsid w:val="665C0596"/>
    <w:rsid w:val="66E87D80"/>
    <w:rsid w:val="67BE3C8D"/>
    <w:rsid w:val="69592E24"/>
    <w:rsid w:val="6B64452E"/>
    <w:rsid w:val="7049207E"/>
    <w:rsid w:val="70D72D9D"/>
    <w:rsid w:val="728E4B9C"/>
    <w:rsid w:val="732A5CDF"/>
    <w:rsid w:val="74875320"/>
    <w:rsid w:val="759D21E1"/>
    <w:rsid w:val="76623C02"/>
    <w:rsid w:val="76982515"/>
    <w:rsid w:val="78F852F3"/>
    <w:rsid w:val="7E867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2020-10-21T09:31:00Z</dcterms:created>
  <dc:creator>朱金方</dc:creator>
  <cp:lastModifiedBy>朱金方</cp:lastModifiedBy>
  <cp:lastPrinted>2020-11-11T03:27:00Z</cp:lastPrinted>
  <dcterms:modified xsi:type="dcterms:W3CDTF">2020-12-08T08:00:57Z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