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天津市民政行政处罚裁量</w:t>
      </w:r>
      <w:r>
        <w:rPr>
          <w:rFonts w:hint="eastAsia" w:ascii="方正小标宋简体" w:hAnsi="方正小标宋简体" w:eastAsia="方正小标宋简体" w:cs="方正小标宋简体"/>
          <w:sz w:val="44"/>
          <w:szCs w:val="44"/>
          <w:lang w:eastAsia="zh-CN"/>
        </w:rPr>
        <w:t>基准</w:t>
      </w:r>
      <w:r>
        <w:rPr>
          <w:rFonts w:hint="eastAsia" w:ascii="方正小标宋简体" w:hAnsi="方正小标宋简体" w:eastAsia="方正小标宋简体" w:cs="方正小标宋简体"/>
          <w:sz w:val="44"/>
          <w:szCs w:val="44"/>
        </w:rPr>
        <w:t>（试行）</w:t>
      </w:r>
    </w:p>
    <w:p>
      <w:pPr>
        <w:adjustRightInd w:val="0"/>
        <w:snapToGrid w:val="0"/>
        <w:spacing w:line="560" w:lineRule="exact"/>
      </w:pP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第一条</w:t>
      </w:r>
      <w:r>
        <w:rPr>
          <w:rFonts w:hint="eastAsia" w:ascii="仿宋" w:hAnsi="仿宋" w:eastAsia="仿宋" w:cs="仿宋"/>
          <w:sz w:val="32"/>
          <w:szCs w:val="32"/>
        </w:rPr>
        <w:t xml:space="preserve"> 为规范本市民政行政处罚行为，建立健全行政处罚裁量基准制度，保护公民、法人和其他组织的合法权益，根据《中华人民共和国行政处罚法》《国务院</w:t>
      </w:r>
      <w:r>
        <w:rPr>
          <w:rFonts w:ascii="仿宋" w:hAnsi="仿宋" w:eastAsia="仿宋" w:cs="仿宋"/>
          <w:sz w:val="32"/>
          <w:szCs w:val="32"/>
        </w:rPr>
        <w:t>办公厅关于进一步规范行政裁量权基准</w:t>
      </w:r>
      <w:r>
        <w:rPr>
          <w:rFonts w:hint="eastAsia" w:ascii="仿宋" w:hAnsi="仿宋" w:eastAsia="仿宋" w:cs="仿宋"/>
          <w:sz w:val="32"/>
          <w:szCs w:val="32"/>
        </w:rPr>
        <w:t>制定</w:t>
      </w:r>
      <w:r>
        <w:rPr>
          <w:rFonts w:ascii="仿宋" w:hAnsi="仿宋" w:eastAsia="仿宋" w:cs="仿宋"/>
          <w:sz w:val="32"/>
          <w:szCs w:val="32"/>
        </w:rPr>
        <w:t>和管理工作的意见</w:t>
      </w:r>
      <w:r>
        <w:rPr>
          <w:rFonts w:hint="eastAsia" w:ascii="仿宋" w:hAnsi="仿宋" w:eastAsia="仿宋" w:cs="仿宋"/>
          <w:sz w:val="32"/>
          <w:szCs w:val="32"/>
        </w:rPr>
        <w:t>》等有关规定，结合民政行政处罚实际，制定本</w:t>
      </w:r>
      <w:r>
        <w:rPr>
          <w:rFonts w:hint="eastAsia" w:ascii="仿宋" w:hAnsi="仿宋" w:eastAsia="仿宋" w:cs="仿宋"/>
          <w:sz w:val="32"/>
          <w:szCs w:val="32"/>
          <w:lang w:eastAsia="zh-CN"/>
        </w:rPr>
        <w:t>基准</w:t>
      </w:r>
      <w:r>
        <w:rPr>
          <w:rFonts w:hint="eastAsia" w:ascii="仿宋" w:hAnsi="仿宋" w:eastAsia="仿宋" w:cs="仿宋"/>
          <w:sz w:val="32"/>
          <w:szCs w:val="32"/>
        </w:rPr>
        <w:t>。</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第二条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基准</w:t>
      </w:r>
      <w:r>
        <w:rPr>
          <w:rFonts w:hint="eastAsia" w:ascii="仿宋" w:hAnsi="仿宋" w:eastAsia="仿宋" w:cs="仿宋"/>
          <w:sz w:val="32"/>
          <w:szCs w:val="32"/>
        </w:rPr>
        <w:t>所称行政处罚裁量</w:t>
      </w:r>
      <w:r>
        <w:rPr>
          <w:rFonts w:hint="eastAsia" w:ascii="仿宋" w:hAnsi="仿宋" w:eastAsia="仿宋" w:cs="仿宋"/>
          <w:sz w:val="32"/>
          <w:szCs w:val="32"/>
          <w:lang w:eastAsia="zh-CN"/>
        </w:rPr>
        <w:t>权</w:t>
      </w:r>
      <w:r>
        <w:rPr>
          <w:rFonts w:hint="eastAsia" w:ascii="仿宋" w:hAnsi="仿宋" w:eastAsia="仿宋" w:cs="仿宋"/>
          <w:sz w:val="32"/>
          <w:szCs w:val="32"/>
        </w:rPr>
        <w:t>，是指依法实施民政行政处罚时，按照法律、法规、规章的规定，综合考虑违法行为的事实、性质、情节以及社会危害程度等因素，据以决定是否处罚，以及作出何种类别、幅度的处罚权限。行政处罚裁量基准是合法合理行使行政处罚裁量权的具体标准。</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第三条</w:t>
      </w:r>
      <w:r>
        <w:rPr>
          <w:rFonts w:hint="default" w:ascii="仿宋" w:hAnsi="仿宋" w:eastAsia="仿宋" w:cs="仿宋"/>
          <w:b/>
          <w:bCs/>
          <w:sz w:val="32"/>
          <w:szCs w:val="32"/>
          <w:lang w:val="en"/>
        </w:rPr>
        <w:t xml:space="preserve"> </w:t>
      </w:r>
      <w:r>
        <w:rPr>
          <w:rFonts w:hint="eastAsia" w:ascii="仿宋" w:hAnsi="仿宋" w:eastAsia="仿宋" w:cs="仿宋"/>
          <w:sz w:val="32"/>
          <w:szCs w:val="32"/>
        </w:rPr>
        <w:t>民政部门依据法律、法规、规章规定，行使行政处罚裁量权，适用本</w:t>
      </w:r>
      <w:r>
        <w:rPr>
          <w:rFonts w:hint="eastAsia" w:ascii="仿宋" w:hAnsi="仿宋" w:eastAsia="仿宋" w:cs="仿宋"/>
          <w:sz w:val="32"/>
          <w:szCs w:val="32"/>
          <w:lang w:eastAsia="zh-CN"/>
        </w:rPr>
        <w:t>基准</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黑体" w:hAnsi="黑体" w:eastAsia="黑体" w:cs="黑体"/>
          <w:b w:val="0"/>
          <w:bCs w:val="0"/>
          <w:sz w:val="32"/>
          <w:szCs w:val="32"/>
        </w:rPr>
        <w:t>第四条</w:t>
      </w:r>
      <w:r>
        <w:rPr>
          <w:rFonts w:hint="eastAsia" w:ascii="仿宋" w:hAnsi="仿宋" w:eastAsia="仿宋" w:cs="仿宋"/>
          <w:sz w:val="32"/>
          <w:szCs w:val="32"/>
        </w:rPr>
        <w:t xml:space="preserve"> 行使民政行政处罚裁量权，应当遵循合法合理、程序正当、过罚相当、综合裁量以及处罚与教育相结合等原则。</w:t>
      </w:r>
      <w:r>
        <w:rPr>
          <w:rFonts w:hint="eastAsia" w:ascii="仿宋" w:hAnsi="仿宋" w:eastAsia="仿宋" w:cs="仿宋"/>
          <w:sz w:val="32"/>
          <w:szCs w:val="32"/>
          <w:lang w:val="en-US" w:eastAsia="zh-CN"/>
        </w:rPr>
        <w:t xml:space="preserve"> </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第五条</w:t>
      </w:r>
      <w:r>
        <w:rPr>
          <w:rFonts w:hint="eastAsia" w:ascii="仿宋" w:hAnsi="仿宋" w:eastAsia="仿宋" w:cs="仿宋"/>
          <w:sz w:val="32"/>
          <w:szCs w:val="32"/>
        </w:rPr>
        <w:t xml:space="preserve"> 行使民政行政处罚裁量权，对于违法行为性质、情节、社会危害程度等基本相同或者相近的案件，适用的法律依据、处罚种类及处罚幅度应当相同或者相近，避免畸轻畸重。</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第六条</w:t>
      </w:r>
      <w:r>
        <w:rPr>
          <w:rFonts w:hint="eastAsia" w:ascii="仿宋" w:hAnsi="仿宋" w:eastAsia="仿宋" w:cs="仿宋"/>
          <w:sz w:val="32"/>
          <w:szCs w:val="32"/>
        </w:rPr>
        <w:t xml:space="preserve"> 实施行政处罚时，应当责令当事人改正或者限期改正违法行为。法律、法规、规章规定应当首先责令当事</w:t>
      </w:r>
      <w:bookmarkStart w:id="0" w:name="_GoBack"/>
      <w:bookmarkEnd w:id="0"/>
      <w:r>
        <w:rPr>
          <w:rFonts w:hint="eastAsia" w:ascii="仿宋" w:hAnsi="仿宋" w:eastAsia="仿宋" w:cs="仿宋"/>
          <w:sz w:val="32"/>
          <w:szCs w:val="32"/>
        </w:rPr>
        <w:t>人改正或者限期改正，当事人逾期不改正才能实施行政处罚的，不得直接对当事人实施行政处罚。</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第七条</w:t>
      </w:r>
      <w:r>
        <w:rPr>
          <w:rFonts w:hint="eastAsia" w:ascii="仿宋" w:hAnsi="仿宋" w:eastAsia="仿宋" w:cs="仿宋"/>
          <w:sz w:val="32"/>
          <w:szCs w:val="32"/>
        </w:rPr>
        <w:t xml:space="preserve"> 实施行政处罚时，应当综合考虑下列因素，明确区分不予行政处罚、减轻行政处罚、从轻行政处罚、一般行政处罚以及从重行政处罚等情形，准确行使行政处罚裁量权。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（一）违法行为人主观恶性；</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（二）违法金额；</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（三）违法行为持续时间；</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（四）违法行为涉及的区域范围；</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（五）违法次数；</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（六）违法行为手段；</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（七）违法行为的危害后果、社会影响程度；</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（八）其他依法应予考虑的因素。</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第八条</w:t>
      </w:r>
      <w:r>
        <w:rPr>
          <w:rFonts w:hint="eastAsia" w:ascii="仿宋" w:hAnsi="仿宋" w:eastAsia="仿宋" w:cs="仿宋"/>
          <w:sz w:val="32"/>
          <w:szCs w:val="32"/>
        </w:rPr>
        <w:t xml:space="preserve"> 同一违法行为违反了不同法律规范的，在适用法律、法规、规章时应当遵循下列原则：</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（一）优先适用效力高的法律规范；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（二）法律规范效力相同，属于特别规定的优先适用；</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（三）法律规范效力相同，时间在后的优先适用。</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第九条</w:t>
      </w:r>
      <w:r>
        <w:rPr>
          <w:rFonts w:hint="eastAsia" w:ascii="仿宋" w:hAnsi="仿宋" w:eastAsia="仿宋" w:cs="仿宋"/>
          <w:sz w:val="32"/>
          <w:szCs w:val="32"/>
        </w:rPr>
        <w:t xml:space="preserve"> 当事人有下列情形之一的，依法不予行政处罚：</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（一）不满十四周岁的未成年人实施违法行为的；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（二）精神病人、智力残疾人在不能辨认或者不能控制自己行为时实施违法行为的；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（三）违法行为轻微并及时改正，没有造成危害后果的；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（四）当事人有证据足以证明没有主观过错的；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（五）违法行为在</w:t>
      </w:r>
      <w:ins w:id="0" w:author="市民政局（收文）" w:date="2023-09-07T15:09:00Z">
        <w:r>
          <w:rPr>
            <w:rFonts w:hint="eastAsia" w:ascii="仿宋" w:hAnsi="仿宋" w:eastAsia="仿宋" w:cs="仿宋"/>
            <w:sz w:val="32"/>
            <w:szCs w:val="32"/>
            <w:lang w:eastAsia="zh-CN"/>
          </w:rPr>
          <w:t>两</w:t>
        </w:r>
      </w:ins>
      <w:del w:id="1" w:author="市民政局（收文）" w:date="2023-09-07T15:08:00Z">
        <w:r>
          <w:rPr>
            <w:rFonts w:hint="default" w:ascii="仿宋" w:hAnsi="仿宋" w:eastAsia="仿宋" w:cs="仿宋"/>
            <w:sz w:val="32"/>
            <w:szCs w:val="32"/>
            <w:lang w:val="en-US"/>
          </w:rPr>
          <w:delText>二</w:delText>
        </w:r>
      </w:del>
      <w:r>
        <w:rPr>
          <w:rFonts w:hint="eastAsia" w:ascii="仿宋" w:hAnsi="仿宋" w:eastAsia="仿宋" w:cs="仿宋"/>
          <w:sz w:val="32"/>
          <w:szCs w:val="32"/>
        </w:rPr>
        <w:t>年内未被发现的，涉及公民生命健康安全、金融安全且有危害后果的违法行为在五年内未被发现的，法律另有规定的除外；</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（六）其他依法不予行政处罚的情形。</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第十条</w:t>
      </w:r>
      <w:r>
        <w:rPr>
          <w:rFonts w:hint="eastAsia" w:ascii="仿宋" w:hAnsi="仿宋" w:eastAsia="仿宋" w:cs="仿宋"/>
          <w:sz w:val="32"/>
          <w:szCs w:val="32"/>
        </w:rPr>
        <w:t xml:space="preserve"> 当事人有下列情形之一的，应当依法从轻或者减轻行政处罚：</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（一）已满十四周岁不满十八周岁的未成年人实施违法行为的；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（二）主动消除或者减轻违法行为危害后果的；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（三）受他人胁迫或者诱骗实施违法行为的；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（四）主动供述行政机关尚未掌握的违法行为的；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（五）配合行政机关查处违法行为有立功表现的；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（六）其他依法应当从轻或者减轻行政处罚的情形。</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从轻行政处罚是指在依法可选择的行政处罚种类和行政处罚幅度内，适用较轻、较少的行政处罚种类或者较低的行政处罚幅度。</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减轻行政处罚是指适用法定行政处罚最低限度以下的行政处罚种类或者行政处罚幅度，或者在应当并处时不并处等。</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第十一条</w:t>
      </w:r>
      <w:r>
        <w:rPr>
          <w:rFonts w:hint="eastAsia" w:ascii="仿宋" w:hAnsi="仿宋" w:eastAsia="仿宋" w:cs="仿宋"/>
          <w:sz w:val="32"/>
          <w:szCs w:val="32"/>
        </w:rPr>
        <w:t xml:space="preserve"> 当事人有下列情形之一的，应当依法从重行政处罚：</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（一）违法行为情节恶劣，造成严重后果的；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（二）民政部门已经作出责令停止或者责令纠正违法行为后，继续实施违法行为的；</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多</w:t>
      </w:r>
      <w:r>
        <w:rPr>
          <w:rFonts w:hint="eastAsia" w:ascii="仿宋" w:hAnsi="仿宋" w:eastAsia="仿宋" w:cs="仿宋"/>
          <w:sz w:val="32"/>
          <w:szCs w:val="32"/>
        </w:rPr>
        <w:t>次实施同种违法行为的；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）在共同违法行为中起主要作用或者教唆、胁迫、诱骗他人实施违法行为的；</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）其他依法应当从重行政处罚的情形。</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从重行政处罚是指在依法可选择的行政处罚种类和行政处罚幅度内，适用较重、较多的行政处罚种类或者较高的行政处罚幅度。</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第十二条</w:t>
      </w:r>
      <w:r>
        <w:rPr>
          <w:rFonts w:hint="eastAsia" w:ascii="仿宋" w:hAnsi="仿宋" w:eastAsia="仿宋" w:cs="仿宋"/>
          <w:sz w:val="32"/>
          <w:szCs w:val="32"/>
        </w:rPr>
        <w:t xml:space="preserve"> 违法行为人不具备不予行政处罚、减轻、从轻或者从重行政处罚情形的，原则上给予一般行政处罚。</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第十三条</w:t>
      </w:r>
      <w:r>
        <w:rPr>
          <w:rFonts w:hint="eastAsia" w:ascii="仿宋" w:hAnsi="仿宋" w:eastAsia="仿宋" w:cs="仿宋"/>
          <w:sz w:val="32"/>
          <w:szCs w:val="32"/>
        </w:rPr>
        <w:t xml:space="preserve"> 当事人既有从轻或者减轻行政处罚情形，又有从重行政处罚情形的，民政部门应当结合案件情况进行综合裁量。</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第十四条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当事人同一违法行为的违法情形可对应不同行政处罚裁量阶次的，按照其对应的最高裁量阶次予以裁量。</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第十五条</w:t>
      </w:r>
      <w:r>
        <w:rPr>
          <w:rFonts w:hint="eastAsia" w:ascii="仿宋" w:hAnsi="仿宋" w:eastAsia="仿宋" w:cs="仿宋"/>
          <w:b/>
          <w:bCs/>
          <w:sz w:val="32"/>
          <w:szCs w:val="32"/>
        </w:rPr>
        <w:t xml:space="preserve"> </w:t>
      </w:r>
      <w:r>
        <w:rPr>
          <w:rFonts w:hint="eastAsia" w:ascii="仿宋" w:hAnsi="仿宋" w:eastAsia="仿宋" w:cs="仿宋"/>
          <w:sz w:val="32"/>
          <w:szCs w:val="32"/>
        </w:rPr>
        <w:t>法律、法规、规章对违法行为规定有多个行政处罚种类且规定可以并处的，可以选择适用单处或并处；规定应当并处的，不得选择适用单处，但减轻行政处罚的除外。</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第十六条</w:t>
      </w:r>
      <w:r>
        <w:rPr>
          <w:rFonts w:hint="eastAsia" w:ascii="仿宋" w:hAnsi="仿宋" w:eastAsia="仿宋" w:cs="仿宋"/>
          <w:sz w:val="32"/>
          <w:szCs w:val="32"/>
        </w:rPr>
        <w:t xml:space="preserve"> 案件承办机构在调查取证时应当客观全面，行使行政处罚裁量权时适用不予行政处罚、减轻或从轻行政处罚以及从重行政处罚等情形的，应当有相应的证据予以支持。</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第十七条</w:t>
      </w:r>
      <w:r>
        <w:rPr>
          <w:rFonts w:hint="eastAsia" w:ascii="仿宋" w:hAnsi="仿宋" w:eastAsia="仿宋" w:cs="仿宋"/>
          <w:sz w:val="32"/>
          <w:szCs w:val="32"/>
        </w:rPr>
        <w:t xml:space="preserve"> 行政处罚实施机关发现本机关作出的行政处罚案件裁量权使用不当的，应当主动及时纠正。</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第十八条</w:t>
      </w:r>
      <w:r>
        <w:rPr>
          <w:rFonts w:hint="eastAsia" w:ascii="仿宋" w:hAnsi="仿宋" w:eastAsia="仿宋" w:cs="仿宋"/>
          <w:sz w:val="32"/>
          <w:szCs w:val="32"/>
        </w:rPr>
        <w:t xml:space="preserve"> 天津市民政局根据本</w:t>
      </w:r>
      <w:r>
        <w:rPr>
          <w:rFonts w:hint="eastAsia" w:ascii="仿宋" w:hAnsi="仿宋" w:eastAsia="仿宋" w:cs="仿宋"/>
          <w:sz w:val="32"/>
          <w:szCs w:val="32"/>
          <w:lang w:eastAsia="zh-CN"/>
        </w:rPr>
        <w:t>基准</w:t>
      </w:r>
      <w:r>
        <w:rPr>
          <w:rFonts w:hint="eastAsia" w:ascii="仿宋" w:hAnsi="仿宋" w:eastAsia="仿宋" w:cs="仿宋"/>
          <w:sz w:val="32"/>
          <w:szCs w:val="32"/>
        </w:rPr>
        <w:t>制定《天津市民政行政处罚裁量基准</w:t>
      </w:r>
      <w:r>
        <w:rPr>
          <w:rFonts w:hint="eastAsia" w:ascii="仿宋" w:hAnsi="仿宋" w:eastAsia="仿宋" w:cs="仿宋"/>
          <w:sz w:val="32"/>
          <w:szCs w:val="32"/>
          <w:lang w:eastAsia="zh-CN"/>
        </w:rPr>
        <w:t>表</w:t>
      </w:r>
      <w:r>
        <w:rPr>
          <w:rFonts w:hint="eastAsia" w:ascii="仿宋" w:hAnsi="仿宋" w:eastAsia="仿宋" w:cs="仿宋"/>
          <w:sz w:val="32"/>
          <w:szCs w:val="32"/>
        </w:rPr>
        <w:t>》（附件</w:t>
      </w:r>
      <w:r>
        <w:rPr>
          <w:rFonts w:hint="eastAsia" w:ascii="仿宋" w:hAnsi="仿宋" w:eastAsia="仿宋" w:cs="仿宋"/>
          <w:sz w:val="32"/>
          <w:szCs w:val="32"/>
          <w:lang w:eastAsia="zh-CN"/>
        </w:rPr>
        <w:t>，以下简称“基准表”</w:t>
      </w:r>
      <w:r>
        <w:rPr>
          <w:rFonts w:hint="eastAsia" w:ascii="仿宋" w:hAnsi="仿宋" w:eastAsia="仿宋" w:cs="仿宋"/>
          <w:sz w:val="32"/>
          <w:szCs w:val="32"/>
        </w:rPr>
        <w:t>），并向社会公布。</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基准表</w:t>
      </w:r>
      <w:r>
        <w:rPr>
          <w:rFonts w:hint="eastAsia" w:ascii="仿宋" w:hAnsi="仿宋" w:eastAsia="仿宋" w:cs="仿宋"/>
          <w:sz w:val="32"/>
          <w:szCs w:val="32"/>
        </w:rPr>
        <w:t>》对涉及多个行政处罚种类的违法行为以及罚款等具有裁量幅度的违法行为进行裁量，涵盖民政</w:t>
      </w:r>
      <w:del w:id="2" w:author="市民政局（收文）" w:date="2023-09-07T15:27:00Z">
        <w:r>
          <w:rPr>
            <w:rFonts w:hint="default" w:ascii="仿宋" w:hAnsi="仿宋" w:eastAsia="仿宋" w:cs="仿宋"/>
            <w:sz w:val="32"/>
            <w:szCs w:val="32"/>
            <w:lang w:val="en-US" w:eastAsia="zh-CN"/>
          </w:rPr>
          <w:delText>八</w:delText>
        </w:r>
      </w:del>
      <w:ins w:id="3" w:author="市民政局（收文）" w:date="2023-09-07T15:27:00Z">
        <w:r>
          <w:rPr>
            <w:rFonts w:hint="default" w:ascii="Times New Roman" w:hAnsi="Times New Roman" w:eastAsia="仿宋" w:cs="Times New Roman"/>
            <w:sz w:val="32"/>
            <w:szCs w:val="32"/>
            <w:lang w:val="en-US" w:eastAsia="zh-CN"/>
            <w:rPrChange w:id="4" w:author="市民政局（收文）" w:date="2023-09-07T16:09:00Z">
              <w:rPr>
                <w:rFonts w:hint="eastAsia" w:ascii="仿宋" w:hAnsi="仿宋" w:eastAsia="仿宋" w:cs="仿宋"/>
                <w:sz w:val="32"/>
                <w:szCs w:val="32"/>
                <w:lang w:val="en-US" w:eastAsia="zh-CN"/>
              </w:rPr>
            </w:rPrChange>
          </w:rPr>
          <w:t>8</w:t>
        </w:r>
      </w:ins>
      <w:r>
        <w:rPr>
          <w:rFonts w:hint="eastAsia" w:ascii="仿宋" w:hAnsi="仿宋" w:eastAsia="仿宋" w:cs="仿宋"/>
          <w:sz w:val="32"/>
          <w:szCs w:val="32"/>
        </w:rPr>
        <w:t>个领域的违法行为。法律、法规、规章中对违法行为的处罚进行明确表述的，属于无需裁量的行政处罚事项，《</w:t>
      </w:r>
      <w:r>
        <w:rPr>
          <w:rFonts w:hint="eastAsia" w:ascii="仿宋" w:hAnsi="仿宋" w:eastAsia="仿宋" w:cs="仿宋"/>
          <w:sz w:val="32"/>
          <w:szCs w:val="32"/>
          <w:lang w:eastAsia="zh-CN"/>
        </w:rPr>
        <w:t>基准表</w:t>
      </w:r>
      <w:r>
        <w:rPr>
          <w:rFonts w:hint="eastAsia" w:ascii="仿宋" w:hAnsi="仿宋" w:eastAsia="仿宋" w:cs="仿宋"/>
          <w:sz w:val="32"/>
          <w:szCs w:val="32"/>
        </w:rPr>
        <w:t>》不再作</w:t>
      </w:r>
      <w:r>
        <w:rPr>
          <w:rFonts w:ascii="仿宋" w:hAnsi="仿宋" w:eastAsia="仿宋" w:cs="仿宋"/>
          <w:sz w:val="32"/>
          <w:szCs w:val="32"/>
        </w:rPr>
        <w:t>出规定</w:t>
      </w:r>
      <w:r>
        <w:rPr>
          <w:rFonts w:hint="eastAsia" w:ascii="仿宋" w:hAnsi="仿宋" w:eastAsia="仿宋" w:cs="仿宋"/>
          <w:sz w:val="32"/>
          <w:szCs w:val="32"/>
        </w:rPr>
        <w:t>。</w:t>
      </w:r>
    </w:p>
    <w:p>
      <w:pPr>
        <w:adjustRightInd w:val="0"/>
        <w:snapToGrid w:val="0"/>
        <w:spacing w:line="560" w:lineRule="exact"/>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第十九条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eastAsia="zh-CN"/>
        </w:rPr>
        <w:t>基准</w:t>
      </w:r>
      <w:r>
        <w:rPr>
          <w:rFonts w:hint="eastAsia" w:ascii="仿宋" w:hAnsi="仿宋" w:eastAsia="仿宋" w:cs="仿宋"/>
          <w:color w:val="auto"/>
          <w:sz w:val="32"/>
          <w:szCs w:val="32"/>
        </w:rPr>
        <w:t>及《</w:t>
      </w:r>
      <w:r>
        <w:rPr>
          <w:rFonts w:hint="eastAsia" w:ascii="仿宋" w:hAnsi="仿宋" w:eastAsia="仿宋" w:cs="仿宋"/>
          <w:color w:val="auto"/>
          <w:sz w:val="32"/>
          <w:szCs w:val="32"/>
          <w:lang w:eastAsia="zh-CN"/>
        </w:rPr>
        <w:t>基准表</w:t>
      </w:r>
      <w:r>
        <w:rPr>
          <w:rFonts w:hint="eastAsia" w:ascii="仿宋" w:hAnsi="仿宋" w:eastAsia="仿宋" w:cs="仿宋"/>
          <w:color w:val="auto"/>
          <w:sz w:val="32"/>
          <w:szCs w:val="32"/>
        </w:rPr>
        <w:t>》可以作为行政处罚</w:t>
      </w:r>
      <w:r>
        <w:rPr>
          <w:rFonts w:hint="eastAsia" w:ascii="仿宋" w:hAnsi="仿宋" w:eastAsia="仿宋" w:cs="仿宋"/>
          <w:color w:val="auto"/>
          <w:sz w:val="32"/>
          <w:szCs w:val="32"/>
          <w:rPrChange w:id="5" w:author="市民政局（收文）" w:date="2023-09-07T15:27:00Z">
            <w:rPr>
              <w:rFonts w:hint="eastAsia" w:ascii="仿宋" w:hAnsi="仿宋" w:eastAsia="仿宋" w:cs="仿宋"/>
              <w:sz w:val="32"/>
              <w:szCs w:val="32"/>
            </w:rPr>
          </w:rPrChange>
        </w:rPr>
        <w:t>决定说理的依据</w:t>
      </w:r>
      <w:r>
        <w:rPr>
          <w:rFonts w:hint="eastAsia" w:ascii="仿宋" w:hAnsi="仿宋" w:eastAsia="仿宋" w:cs="仿宋"/>
          <w:color w:val="auto"/>
          <w:sz w:val="32"/>
          <w:szCs w:val="32"/>
        </w:rPr>
        <w:t>，但</w:t>
      </w:r>
      <w:r>
        <w:rPr>
          <w:rFonts w:hint="eastAsia" w:ascii="仿宋" w:hAnsi="仿宋" w:eastAsia="仿宋" w:cs="仿宋"/>
          <w:sz w:val="32"/>
          <w:szCs w:val="32"/>
        </w:rPr>
        <w:t>不得直接作为行政处罚的法律依据，不得在行政处罚告知书、决定书中援引。</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b w:val="0"/>
          <w:bCs w:val="0"/>
          <w:sz w:val="32"/>
          <w:szCs w:val="32"/>
        </w:rPr>
        <w:t>第二十条</w:t>
      </w:r>
      <w:r>
        <w:rPr>
          <w:rFonts w:hint="eastAsia" w:ascii="仿宋" w:hAnsi="仿宋" w:eastAsia="仿宋" w:cs="仿宋"/>
          <w:sz w:val="32"/>
          <w:szCs w:val="32"/>
        </w:rPr>
        <w:t xml:space="preserve"> 本</w:t>
      </w:r>
      <w:r>
        <w:rPr>
          <w:rFonts w:hint="eastAsia" w:ascii="仿宋" w:hAnsi="仿宋" w:eastAsia="仿宋" w:cs="仿宋"/>
          <w:sz w:val="32"/>
          <w:szCs w:val="32"/>
          <w:lang w:eastAsia="zh-CN"/>
        </w:rPr>
        <w:t>基准</w:t>
      </w:r>
      <w:r>
        <w:rPr>
          <w:rFonts w:hint="eastAsia" w:ascii="仿宋" w:hAnsi="仿宋" w:eastAsia="仿宋" w:cs="仿宋"/>
          <w:sz w:val="32"/>
          <w:szCs w:val="32"/>
        </w:rPr>
        <w:t>及《</w:t>
      </w:r>
      <w:r>
        <w:rPr>
          <w:rFonts w:hint="eastAsia" w:ascii="仿宋" w:hAnsi="仿宋" w:eastAsia="仿宋" w:cs="仿宋"/>
          <w:sz w:val="32"/>
          <w:szCs w:val="32"/>
          <w:lang w:eastAsia="zh-CN"/>
        </w:rPr>
        <w:t>基准表</w:t>
      </w:r>
      <w:r>
        <w:rPr>
          <w:rFonts w:hint="eastAsia" w:ascii="仿宋" w:hAnsi="仿宋" w:eastAsia="仿宋" w:cs="仿宋"/>
          <w:sz w:val="32"/>
          <w:szCs w:val="32"/>
        </w:rPr>
        <w:t>》的适用会明显导致不当的，可以在不与法律、法规、规章相抵触的情况下变通适用，但必须经行政机关负责人集体讨论决定。</w:t>
      </w:r>
    </w:p>
    <w:p>
      <w:pPr>
        <w:adjustRightInd w:val="0"/>
        <w:snapToGrid w:val="0"/>
        <w:spacing w:line="560" w:lineRule="exact"/>
        <w:ind w:firstLine="640" w:firstLineChars="200"/>
        <w:rPr>
          <w:rFonts w:ascii="仿宋" w:hAnsi="仿宋" w:eastAsia="仿宋" w:cs="仿宋"/>
          <w:color w:val="auto"/>
          <w:sz w:val="32"/>
          <w:szCs w:val="32"/>
        </w:rPr>
      </w:pPr>
      <w:r>
        <w:rPr>
          <w:rFonts w:hint="eastAsia" w:ascii="黑体" w:hAnsi="黑体" w:eastAsia="黑体" w:cs="黑体"/>
          <w:b w:val="0"/>
          <w:bCs w:val="0"/>
          <w:sz w:val="32"/>
          <w:szCs w:val="32"/>
        </w:rPr>
        <w:t>第二十一条</w:t>
      </w:r>
      <w:r>
        <w:rPr>
          <w:rFonts w:hint="eastAsia" w:ascii="仿宋" w:hAnsi="仿宋" w:eastAsia="仿宋" w:cs="仿宋"/>
          <w:color w:val="auto"/>
          <w:sz w:val="32"/>
          <w:szCs w:val="32"/>
        </w:rPr>
        <w:t xml:space="preserve"> 本基准及《</w:t>
      </w:r>
      <w:r>
        <w:rPr>
          <w:rFonts w:hint="eastAsia" w:ascii="仿宋" w:hAnsi="仿宋" w:eastAsia="仿宋" w:cs="仿宋"/>
          <w:color w:val="auto"/>
          <w:sz w:val="32"/>
          <w:szCs w:val="32"/>
          <w:lang w:eastAsia="zh-CN"/>
        </w:rPr>
        <w:t>基准表</w:t>
      </w:r>
      <w:r>
        <w:rPr>
          <w:rFonts w:hint="eastAsia" w:ascii="仿宋" w:hAnsi="仿宋" w:eastAsia="仿宋" w:cs="仿宋"/>
          <w:color w:val="auto"/>
          <w:sz w:val="32"/>
          <w:szCs w:val="32"/>
        </w:rPr>
        <w:t>》与新颁布实施的法律、法规和规章不一致的，以新颁布实施的法律、法规和规章规定为准。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rPr>
      </w:pPr>
      <w:r>
        <w:rPr>
          <w:rFonts w:hint="eastAsia" w:ascii="黑体" w:hAnsi="黑体" w:eastAsia="黑体" w:cs="黑体"/>
          <w:b w:val="0"/>
          <w:bCs w:val="0"/>
          <w:sz w:val="32"/>
          <w:szCs w:val="32"/>
        </w:rPr>
        <w:t>第二十二条</w:t>
      </w:r>
      <w:r>
        <w:rPr>
          <w:rFonts w:hint="eastAsia" w:ascii="仿宋" w:hAnsi="仿宋" w:eastAsia="仿宋" w:cs="仿宋"/>
          <w:color w:val="auto"/>
          <w:sz w:val="32"/>
          <w:szCs w:val="32"/>
        </w:rPr>
        <w:t xml:space="preserve"> 本</w:t>
      </w:r>
      <w:r>
        <w:rPr>
          <w:rFonts w:hint="eastAsia" w:ascii="仿宋" w:hAnsi="仿宋" w:eastAsia="仿宋" w:cs="仿宋"/>
          <w:color w:val="auto"/>
          <w:sz w:val="32"/>
          <w:szCs w:val="32"/>
          <w:lang w:eastAsia="zh-CN"/>
        </w:rPr>
        <w:t>基准</w:t>
      </w:r>
      <w:r>
        <w:rPr>
          <w:rFonts w:hint="eastAsia" w:ascii="仿宋" w:hAnsi="仿宋" w:eastAsia="仿宋" w:cs="仿宋"/>
          <w:color w:val="auto"/>
          <w:sz w:val="32"/>
          <w:szCs w:val="32"/>
        </w:rPr>
        <w:t>及《</w:t>
      </w:r>
      <w:r>
        <w:rPr>
          <w:rFonts w:hint="eastAsia" w:ascii="仿宋" w:hAnsi="仿宋" w:eastAsia="仿宋" w:cs="仿宋"/>
          <w:color w:val="auto"/>
          <w:sz w:val="32"/>
          <w:szCs w:val="32"/>
          <w:lang w:eastAsia="zh-CN"/>
        </w:rPr>
        <w:t>基准表</w:t>
      </w:r>
      <w:r>
        <w:rPr>
          <w:rFonts w:hint="eastAsia" w:ascii="仿宋" w:hAnsi="仿宋" w:eastAsia="仿宋" w:cs="仿宋"/>
          <w:color w:val="auto"/>
          <w:sz w:val="32"/>
          <w:szCs w:val="32"/>
        </w:rPr>
        <w:t>》自</w:t>
      </w:r>
      <w:r>
        <w:rPr>
          <w:rFonts w:hint="eastAsia" w:eastAsia="仿宋" w:cs="Times New Roman"/>
          <w:color w:val="auto"/>
          <w:sz w:val="32"/>
          <w:szCs w:val="32"/>
          <w:lang w:eastAsia="zh-CN"/>
        </w:rPr>
        <w:t>发布之</w:t>
      </w:r>
      <w:r>
        <w:rPr>
          <w:rFonts w:hint="default" w:ascii="Times New Roman" w:hAnsi="Times New Roman" w:eastAsia="仿宋" w:cs="Times New Roman"/>
          <w:color w:val="auto"/>
          <w:sz w:val="32"/>
          <w:szCs w:val="32"/>
        </w:rPr>
        <w:t>日</w:t>
      </w:r>
      <w:r>
        <w:rPr>
          <w:rFonts w:hint="eastAsia" w:eastAsia="仿宋" w:cs="Times New Roman"/>
          <w:color w:val="auto"/>
          <w:sz w:val="32"/>
          <w:szCs w:val="32"/>
          <w:lang w:eastAsia="zh-CN"/>
        </w:rPr>
        <w:t>起</w:t>
      </w:r>
      <w:r>
        <w:rPr>
          <w:rFonts w:hint="default" w:ascii="Times New Roman" w:hAnsi="Times New Roman" w:eastAsia="仿宋" w:cs="Times New Roman"/>
          <w:color w:val="auto"/>
          <w:sz w:val="32"/>
          <w:szCs w:val="32"/>
        </w:rPr>
        <w:t>施行，有效期为3年。《天津市民政行政处罚自由裁量权标准</w:t>
      </w:r>
      <w:r>
        <w:rPr>
          <w:rFonts w:hint="default" w:ascii="Times New Roman" w:hAnsi="Times New Roman" w:eastAsia="仿宋" w:cs="Times New Roman"/>
          <w:color w:val="auto"/>
          <w:sz w:val="32"/>
          <w:szCs w:val="32"/>
          <w:rPrChange w:id="6" w:author="市民政局（收文）" w:date="2023-09-07T15:28:00Z">
            <w:rPr>
              <w:rFonts w:hint="default" w:ascii="Times New Roman" w:hAnsi="Times New Roman" w:eastAsia="仿宋" w:cs="Times New Roman"/>
              <w:sz w:val="32"/>
              <w:szCs w:val="32"/>
            </w:rPr>
          </w:rPrChange>
        </w:rPr>
        <w:t>》（津民办</w:t>
      </w:r>
      <w:ins w:id="7" w:author="市民政局（收文）" w:date="2023-09-07T15:28:00Z">
        <w:r>
          <w:rPr>
            <w:rFonts w:hint="eastAsia" w:ascii="Times New Roman" w:hAnsi="Times New Roman" w:eastAsia="仿宋" w:cs="Times New Roman"/>
            <w:color w:val="auto"/>
            <w:sz w:val="32"/>
            <w:szCs w:val="32"/>
            <w:lang w:eastAsia="zh-CN"/>
            <w:rPrChange w:id="8" w:author="市民政局（收文）" w:date="2023-09-07T15:28:00Z">
              <w:rPr>
                <w:rFonts w:hint="eastAsia" w:ascii="Times New Roman" w:hAnsi="Times New Roman" w:eastAsia="仿宋" w:cs="Times New Roman"/>
                <w:sz w:val="32"/>
                <w:szCs w:val="32"/>
                <w:lang w:eastAsia="zh-CN"/>
              </w:rPr>
            </w:rPrChange>
          </w:rPr>
          <w:t>发</w:t>
        </w:r>
      </w:ins>
      <w:r>
        <w:rPr>
          <w:rFonts w:hint="default" w:ascii="Times New Roman" w:hAnsi="Times New Roman" w:eastAsia="仿宋" w:cs="Times New Roman"/>
          <w:color w:val="auto"/>
          <w:sz w:val="32"/>
          <w:szCs w:val="32"/>
        </w:rPr>
        <w:t>〔2018〕2号）同时废止。</w:t>
      </w:r>
    </w:p>
    <w:p>
      <w:pPr>
        <w:pStyle w:val="2"/>
        <w:keepNext w:val="0"/>
        <w:keepLines w:val="0"/>
        <w:pageBreakBefore w:val="0"/>
        <w:widowControl w:val="0"/>
        <w:kinsoku/>
        <w:wordWrap/>
        <w:overflowPunct/>
        <w:topLinePunct w:val="0"/>
        <w:autoSpaceDE/>
        <w:autoSpaceDN/>
        <w:bidi w:val="0"/>
        <w:snapToGrid w:val="0"/>
        <w:spacing w:line="560" w:lineRule="exact"/>
        <w:textAlignment w:val="auto"/>
        <w:rPr>
          <w:del w:id="9" w:author="市民政局（收文）" w:date="2023-09-07T15:28:00Z"/>
          <w:rFonts w:hint="eastAsia"/>
        </w:rPr>
      </w:pPr>
    </w:p>
    <w:p>
      <w:pPr>
        <w:tabs>
          <w:tab w:val="center" w:pos="4153"/>
          <w:tab w:val="right" w:pos="8306"/>
        </w:tabs>
        <w:adjustRightInd w:val="0"/>
        <w:snapToGrid w:val="0"/>
        <w:spacing w:line="560" w:lineRule="exact"/>
        <w:ind w:firstLine="640" w:firstLineChars="200"/>
        <w:rPr>
          <w:del w:id="11" w:author="市民政局（收文）" w:date="2023-09-07T15:28:00Z"/>
          <w:rFonts w:hint="eastAsia"/>
          <w:color w:val="auto"/>
          <w:sz w:val="32"/>
          <w:szCs w:val="32"/>
          <w:rPrChange w:id="12" w:author="市民政局（收文）" w:date="2023-09-07T15:28:00Z">
            <w:rPr>
              <w:del w:id="13" w:author="市民政局（收文）" w:date="2023-09-07T15:28:00Z"/>
              <w:rFonts w:hint="eastAsia"/>
            </w:rPr>
          </w:rPrChange>
        </w:rPr>
        <w:pPrChange w:id="10" w:author="市民政局（收文）" w:date="2023-09-07T15:28:00Z">
          <w:pPr>
            <w:pStyle w:val="2"/>
          </w:pPr>
        </w:pPrChange>
      </w:pPr>
    </w:p>
    <w:p>
      <w:pPr>
        <w:adjustRightInd w:val="0"/>
        <w:snapToGrid w:val="0"/>
        <w:spacing w:line="560" w:lineRule="exact"/>
        <w:ind w:firstLine="640" w:firstLineChars="200"/>
        <w:rPr>
          <w:rFonts w:hint="eastAsia" w:ascii="仿宋" w:hAnsi="仿宋" w:eastAsia="仿宋" w:cs="仿宋"/>
          <w:color w:val="auto"/>
          <w:sz w:val="32"/>
          <w:szCs w:val="32"/>
          <w:lang w:val="en-US" w:eastAsia="zh-CN"/>
        </w:rPr>
        <w:pPrChange w:id="14" w:author="市民政局（收文）" w:date="2023-09-07T15:28:00Z">
          <w:pPr>
            <w:adjustRightInd w:val="0"/>
            <w:snapToGrid w:val="0"/>
            <w:spacing w:line="560" w:lineRule="exact"/>
            <w:ind w:firstLine="640" w:firstLineChars="200"/>
          </w:pPr>
        </w:pPrChange>
      </w:pPr>
    </w:p>
    <w:p>
      <w:pPr>
        <w:adjustRightInd w:val="0"/>
        <w:snapToGrid w:val="0"/>
        <w:spacing w:line="560" w:lineRule="exact"/>
        <w:ind w:firstLine="640" w:firstLineChars="200"/>
        <w:rPr>
          <w:rFonts w:hint="eastAsia" w:ascii="仿宋" w:hAnsi="仿宋" w:eastAsia="仿宋" w:cs="仿宋"/>
          <w:color w:val="auto"/>
          <w:sz w:val="32"/>
          <w:szCs w:val="32"/>
          <w:lang w:val="en-US" w:eastAsia="zh-CN"/>
        </w:rPr>
        <w:pPrChange w:id="15" w:author="市民政局（收文）" w:date="2023-09-07T15:28:00Z">
          <w:pPr>
            <w:adjustRightInd w:val="0"/>
            <w:snapToGrid w:val="0"/>
            <w:spacing w:line="560" w:lineRule="exact"/>
            <w:ind w:firstLine="640" w:firstLineChars="200"/>
          </w:pPr>
        </w:pPrChange>
      </w:pPr>
      <w:r>
        <w:rPr>
          <w:rFonts w:hint="eastAsia" w:ascii="仿宋" w:hAnsi="仿宋" w:eastAsia="仿宋" w:cs="仿宋"/>
          <w:color w:val="auto"/>
          <w:sz w:val="32"/>
          <w:szCs w:val="32"/>
          <w:lang w:val="en-US" w:eastAsia="zh-CN"/>
        </w:rPr>
        <w:t>附件：</w:t>
      </w:r>
      <w:r>
        <w:rPr>
          <w:rFonts w:hint="eastAsia" w:ascii="仿宋" w:hAnsi="仿宋" w:eastAsia="仿宋" w:cs="仿宋"/>
          <w:color w:val="auto"/>
          <w:sz w:val="32"/>
          <w:szCs w:val="32"/>
        </w:rPr>
        <w:t>天津市民政行政处罚裁量基准</w:t>
      </w:r>
      <w:r>
        <w:rPr>
          <w:rFonts w:hint="eastAsia" w:ascii="仿宋" w:hAnsi="仿宋" w:eastAsia="仿宋" w:cs="仿宋"/>
          <w:color w:val="auto"/>
          <w:sz w:val="32"/>
          <w:szCs w:val="32"/>
          <w:lang w:eastAsia="zh-CN"/>
        </w:rPr>
        <w:t>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市民政局（收文）">
    <w15:presenceInfo w15:providerId="None" w15:userId="市民政局（收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2E51236D"/>
    <w:rsid w:val="2E512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2023-09-18T05:58:00Z</dcterms:created>
  <dc:creator>sai</dc:creator>
  <cp:lastModifiedBy>sai</cp:lastModifiedBy>
  <dcterms:modified xsi:type="dcterms:W3CDTF">2023-09-18T05:59:00Z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D840CDDA0C3D41EA92F3E94D7326F4A3_11</vt:lpwstr>
  </property>
</Properties>
</file>