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sz w:val="32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-746760</wp:posOffset>
                </wp:positionH>
                <wp:positionV relativeFrom="paragraph">
                  <wp:posOffset>-59690</wp:posOffset>
                </wp:positionV>
                <wp:extent cx="363855" cy="742950"/>
                <wp:effectExtent l="4445" t="4445" r="12700" b="1460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85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textAlignment w:val="auto"/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44"/>
                              </w:rPr>
                              <w:t xml:space="preserve">— </w:t>
                            </w:r>
                            <w:r>
                              <w:rPr>
                                <w:rFonts w:hint="eastAsia" w:ascii="Times New Roman" w:hAnsi="Times New Roman"/>
                                <w:sz w:val="28"/>
                                <w:szCs w:val="44"/>
                                <w:lang w:val="en-US" w:eastAsia="zh-CN"/>
                              </w:rPr>
                              <w:t>18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44"/>
                              </w:rPr>
                              <w:t xml:space="preserve"> —</w:t>
                            </w:r>
                          </w:p>
                        </w:txbxContent>
                      </wps:txbx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8.8pt;margin-top:-4.7pt;height:58.5pt;width:28.65pt;z-index:251659264;mso-width-relative:page;mso-height-relative:page;" fillcolor="#FFFFFF" filled="t" stroked="t" coordsize="21600,21600" o:gfxdata="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MbjPajVAAAACwEAAA8AAAAAAAAAAQAg&#10;AAAAIgAAAGRycy9kb3ducmV2LnhtbFBLAQIUABQAAAAIAIdO4kABF2O2EQIAAEMEAAAOAAAAAAAA&#10;AAEAIAAAACQBAABkcnMvZTJvRG9jLnhtbFBLBQYAAAAABgAGAFkBAACnBQAAAAA=&#10;">
                <v:fill on="t" focussize="0,0"/>
                <v:stroke color="#FFFFFF" joinstyle="miter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textAlignment w:val="auto"/>
                      </w:pPr>
                      <w:r>
                        <w:rPr>
                          <w:rFonts w:ascii="Times New Roman" w:hAnsi="Times New Roman"/>
                          <w:sz w:val="28"/>
                          <w:szCs w:val="44"/>
                        </w:rPr>
                        <w:t xml:space="preserve">— </w:t>
                      </w:r>
                      <w:r>
                        <w:rPr>
                          <w:rFonts w:hint="eastAsia" w:ascii="Times New Roman" w:hAnsi="Times New Roman"/>
                          <w:sz w:val="28"/>
                          <w:szCs w:val="44"/>
                          <w:lang w:val="en-US" w:eastAsia="zh-CN"/>
                        </w:rPr>
                        <w:t>18</w:t>
                      </w:r>
                      <w:r>
                        <w:rPr>
                          <w:rFonts w:ascii="Times New Roman" w:hAnsi="Times New Roman"/>
                          <w:sz w:val="28"/>
                          <w:szCs w:val="44"/>
                        </w:rPr>
                        <w:t xml:space="preserve"> 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/>
          <w:sz w:val="32"/>
        </w:rPr>
        <w:t>附件2</w:t>
      </w:r>
    </w:p>
    <w:p>
      <w:pPr>
        <w:autoSpaceDN w:val="0"/>
        <w:spacing w:after="156" w:afterLines="50" w:line="600" w:lineRule="exact"/>
        <w:jc w:val="center"/>
        <w:rPr>
          <w:rFonts w:hint="eastAsia" w:ascii="方正小标宋简体" w:hAnsi="方正小标宋简体" w:eastAsia="方正小标宋简体"/>
          <w:color w:val="000000"/>
          <w:sz w:val="40"/>
          <w:lang w:eastAsia="zh-CN"/>
        </w:rPr>
      </w:pPr>
      <w:r>
        <w:rPr>
          <w:rFonts w:hint="eastAsia" w:ascii="方正小标宋简体" w:hAnsi="方正小标宋简体" w:eastAsia="方正小标宋简体"/>
          <w:color w:val="000000"/>
          <w:sz w:val="40"/>
        </w:rPr>
        <w:t>天津市村（社区）</w:t>
      </w:r>
      <w:r>
        <w:rPr>
          <w:rFonts w:ascii="方正小标宋简体" w:hAnsi="方正小标宋简体" w:eastAsia="方正小标宋简体"/>
          <w:color w:val="000000"/>
          <w:sz w:val="40"/>
        </w:rPr>
        <w:t>组织</w:t>
      </w:r>
      <w:r>
        <w:rPr>
          <w:rFonts w:hint="eastAsia" w:ascii="方正小标宋简体" w:hAnsi="方正小标宋简体" w:eastAsia="方正小标宋简体"/>
          <w:color w:val="000000"/>
          <w:sz w:val="40"/>
        </w:rPr>
        <w:t>依法</w:t>
      </w:r>
      <w:r>
        <w:rPr>
          <w:rFonts w:ascii="方正小标宋简体" w:hAnsi="方正小标宋简体" w:eastAsia="方正小标宋简体"/>
          <w:color w:val="000000"/>
          <w:sz w:val="40"/>
        </w:rPr>
        <w:t>协助</w:t>
      </w:r>
      <w:r>
        <w:rPr>
          <w:rFonts w:hint="eastAsia" w:ascii="方正小标宋简体" w:hAnsi="方正小标宋简体" w:eastAsia="方正小标宋简体"/>
          <w:color w:val="000000"/>
          <w:sz w:val="40"/>
        </w:rPr>
        <w:t>政府工作事务指导目录</w:t>
      </w:r>
      <w:r>
        <w:rPr>
          <w:rFonts w:hint="eastAsia" w:ascii="方正小标宋简体" w:hAnsi="方正小标宋简体" w:eastAsia="方正小标宋简体"/>
          <w:color w:val="000000"/>
          <w:sz w:val="40"/>
          <w:lang w:eastAsia="zh-CN"/>
        </w:rPr>
        <w:t>（</w:t>
      </w:r>
      <w:r>
        <w:rPr>
          <w:rFonts w:hint="eastAsia" w:ascii="方正小标宋简体" w:hAnsi="方正小标宋简体" w:eastAsia="方正小标宋简体"/>
          <w:color w:val="000000"/>
          <w:sz w:val="40"/>
          <w:lang w:val="en-US" w:eastAsia="zh-CN"/>
        </w:rPr>
        <w:t>2023年版</w:t>
      </w:r>
      <w:r>
        <w:rPr>
          <w:rFonts w:hint="eastAsia" w:ascii="方正小标宋简体" w:hAnsi="方正小标宋简体" w:eastAsia="方正小标宋简体"/>
          <w:color w:val="000000"/>
          <w:sz w:val="40"/>
          <w:lang w:eastAsia="zh-CN"/>
        </w:rPr>
        <w:t>）</w:t>
      </w:r>
    </w:p>
    <w:tbl>
      <w:tblPr>
        <w:tblStyle w:val="4"/>
        <w:tblW w:w="0" w:type="auto"/>
        <w:tblInd w:w="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4763"/>
        <w:gridCol w:w="2038"/>
        <w:gridCol w:w="46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242" w:type="dxa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8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2"/>
              </w:rPr>
              <w:t>类别</w:t>
            </w:r>
          </w:p>
        </w:tc>
        <w:tc>
          <w:tcPr>
            <w:tcW w:w="4763" w:type="dxa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黑体" w:hAnsi="黑体" w:eastAsia="黑体"/>
                <w:color w:val="000000"/>
                <w:sz w:val="28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2"/>
              </w:rPr>
              <w:t>工作事项</w:t>
            </w:r>
          </w:p>
        </w:tc>
        <w:tc>
          <w:tcPr>
            <w:tcW w:w="2038" w:type="dxa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黑体" w:hAnsi="黑体" w:eastAsia="黑体"/>
                <w:color w:val="000000"/>
                <w:sz w:val="28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2"/>
              </w:rPr>
              <w:t>责任单位</w:t>
            </w:r>
          </w:p>
        </w:tc>
        <w:tc>
          <w:tcPr>
            <w:tcW w:w="4642" w:type="dxa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黑体" w:hAnsi="黑体" w:eastAsia="黑体"/>
                <w:color w:val="000000"/>
                <w:sz w:val="28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2"/>
              </w:rPr>
              <w:t>法律法规</w:t>
            </w:r>
            <w:r>
              <w:rPr>
                <w:rFonts w:hint="eastAsia" w:ascii="Times New Roman" w:hAnsi="Times New Roman" w:eastAsia="黑体"/>
                <w:color w:val="000000"/>
                <w:sz w:val="28"/>
                <w:szCs w:val="22"/>
              </w:rPr>
              <w:t>及政策</w:t>
            </w:r>
            <w:r>
              <w:rPr>
                <w:rFonts w:hint="eastAsia" w:ascii="黑体" w:hAnsi="黑体" w:eastAsia="黑体"/>
                <w:color w:val="000000"/>
                <w:sz w:val="28"/>
                <w:szCs w:val="22"/>
              </w:rPr>
              <w:t>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42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（一）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教育工作</w:t>
            </w:r>
          </w:p>
        </w:tc>
        <w:tc>
          <w:tcPr>
            <w:tcW w:w="476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1.协助做好督促适龄儿童、少年入学等义务教育工作。</w:t>
            </w:r>
          </w:p>
        </w:tc>
        <w:tc>
          <w:tcPr>
            <w:tcW w:w="2038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教育部门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  <w:t>、</w:t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妇联</w:t>
            </w:r>
          </w:p>
        </w:tc>
        <w:tc>
          <w:tcPr>
            <w:tcW w:w="464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《中华人民共和国义务教育法》第十三条</w:t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《天津市实施〈中华人民共和国义务教育法〉办法》第十四条</w:t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《中华人民共和国妇女权益保障法》第三十六条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124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76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2.协助做好社区家长学校等家庭教育指导服务站点建设工作。</w:t>
            </w:r>
          </w:p>
        </w:tc>
        <w:tc>
          <w:tcPr>
            <w:tcW w:w="2038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教育部门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  <w:t>、</w:t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妇联</w:t>
            </w:r>
          </w:p>
        </w:tc>
        <w:tc>
          <w:tcPr>
            <w:tcW w:w="464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《中华人民共和国家庭教育促进法》第三十八条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124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76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3.协助做好未成年人网络保护工作。</w:t>
            </w:r>
          </w:p>
        </w:tc>
        <w:tc>
          <w:tcPr>
            <w:tcW w:w="2038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网信部门</w:t>
            </w:r>
          </w:p>
        </w:tc>
        <w:tc>
          <w:tcPr>
            <w:tcW w:w="464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《天津市未成年人保护条例》第五十二条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124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（二）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法治工作</w:t>
            </w:r>
          </w:p>
        </w:tc>
        <w:tc>
          <w:tcPr>
            <w:tcW w:w="476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4.配合法律援助机构开展核查工作。</w:t>
            </w:r>
          </w:p>
        </w:tc>
        <w:tc>
          <w:tcPr>
            <w:tcW w:w="2038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司法行政部门</w:t>
            </w:r>
          </w:p>
        </w:tc>
        <w:tc>
          <w:tcPr>
            <w:tcW w:w="464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《中华人民共和国法律援助法》第四十一条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242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（三）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文化建设工作</w:t>
            </w:r>
          </w:p>
        </w:tc>
        <w:tc>
          <w:tcPr>
            <w:tcW w:w="476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5.协助开展公共文化服务相关工作。</w:t>
            </w:r>
          </w:p>
        </w:tc>
        <w:tc>
          <w:tcPr>
            <w:tcW w:w="2038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文化旅游、宣传部门</w:t>
            </w:r>
          </w:p>
        </w:tc>
        <w:tc>
          <w:tcPr>
            <w:tcW w:w="464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《中华人民共和国公共文化服务保障法》第三十七条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24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76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6.协助开展全民健身活动相关工作。</w:t>
            </w:r>
          </w:p>
        </w:tc>
        <w:tc>
          <w:tcPr>
            <w:tcW w:w="2038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体育部门</w:t>
            </w:r>
          </w:p>
        </w:tc>
        <w:tc>
          <w:tcPr>
            <w:tcW w:w="464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《全民健身条例》第十七条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24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76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7.协助做好婚丧习俗改革等工作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  <w:t>。</w:t>
            </w:r>
          </w:p>
        </w:tc>
        <w:tc>
          <w:tcPr>
            <w:tcW w:w="2038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民政部门</w:t>
            </w:r>
          </w:p>
        </w:tc>
        <w:tc>
          <w:tcPr>
            <w:tcW w:w="464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《天津市实施〈中华人民共和国城市居民委员会组织法〉办法》第四条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242" w:type="dxa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8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2"/>
              </w:rPr>
              <w:t>类别</w:t>
            </w:r>
          </w:p>
        </w:tc>
        <w:tc>
          <w:tcPr>
            <w:tcW w:w="4763" w:type="dxa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黑体" w:hAnsi="黑体" w:eastAsia="黑体"/>
                <w:color w:val="000000"/>
                <w:sz w:val="28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2"/>
              </w:rPr>
              <w:t>工作事项</w:t>
            </w:r>
          </w:p>
        </w:tc>
        <w:tc>
          <w:tcPr>
            <w:tcW w:w="2038" w:type="dxa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黑体" w:hAnsi="黑体" w:eastAsia="黑体"/>
                <w:color w:val="000000"/>
                <w:sz w:val="28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2"/>
              </w:rPr>
              <w:t>责任单位</w:t>
            </w:r>
          </w:p>
        </w:tc>
        <w:tc>
          <w:tcPr>
            <w:tcW w:w="4642" w:type="dxa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黑体" w:hAnsi="黑体" w:eastAsia="黑体"/>
                <w:color w:val="000000"/>
                <w:sz w:val="28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2"/>
              </w:rPr>
              <w:t>法律法规</w:t>
            </w:r>
            <w:r>
              <w:rPr>
                <w:rFonts w:hint="eastAsia" w:ascii="Times New Roman" w:hAnsi="Times New Roman" w:eastAsia="黑体"/>
                <w:color w:val="000000"/>
                <w:sz w:val="28"/>
                <w:szCs w:val="22"/>
              </w:rPr>
              <w:t>及政策</w:t>
            </w:r>
            <w:r>
              <w:rPr>
                <w:rFonts w:hint="eastAsia" w:ascii="黑体" w:hAnsi="黑体" w:eastAsia="黑体"/>
                <w:color w:val="000000"/>
                <w:sz w:val="28"/>
                <w:szCs w:val="22"/>
              </w:rPr>
              <w:t>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242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-768350</wp:posOffset>
                      </wp:positionH>
                      <wp:positionV relativeFrom="page">
                        <wp:posOffset>4614545</wp:posOffset>
                      </wp:positionV>
                      <wp:extent cx="363855" cy="742950"/>
                      <wp:effectExtent l="4445" t="4445" r="12700" b="14605"/>
                      <wp:wrapNone/>
                      <wp:docPr id="3" name="文本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3855" cy="742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FFFFFF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40" w:lineRule="exact"/>
                                    <w:textAlignment w:val="auto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44"/>
                                    </w:rPr>
                                    <w:t xml:space="preserve">— </w:t>
                                  </w:r>
                                  <w:r>
                                    <w:rPr>
                                      <w:rFonts w:hint="eastAsia" w:ascii="Times New Roman" w:hAnsi="Times New Roman"/>
                                      <w:sz w:val="28"/>
                                      <w:szCs w:val="44"/>
                                      <w:lang w:val="en-US" w:eastAsia="zh-CN"/>
                                    </w:rPr>
                                    <w:t>19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44"/>
                                    </w:rPr>
                                    <w:t xml:space="preserve"> —</w:t>
                                  </w:r>
                                </w:p>
                              </w:txbxContent>
                            </wps:txbx>
                            <wps:bodyPr vert="eaVert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60.5pt;margin-top:363.35pt;height:58.5pt;width:28.65pt;mso-position-vertical-relative:page;z-index:251662336;mso-width-relative:page;mso-height-relative:page;" fillcolor="#FFFFFF" filled="t" stroked="t" coordsize="21600,21600" o:gfxdata="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UtFRq1wAAAAwBAAAPAAAAAAAAAAEA&#10;IAAAACIAAABkcnMvZG93bnJldi54bWxQSwECFAAUAAAACACHTuJAa8V7+hACAABDBAAADgAAAAAA&#10;AAABACAAAAAmAQAAZHJzL2Uyb0RvYy54bWxQSwUGAAAAAAYABgBZAQAAqAUAAAAA&#10;">
                      <v:fill on="t" focussize="0,0"/>
                      <v:stroke color="#FFFFFF" joinstyle="miter"/>
                      <v:imagedata o:title=""/>
                      <o:lock v:ext="edit" aspectratio="f"/>
                      <v:textbox style="layout-flow:vertical-ideographic;"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textAlignment w:val="auto"/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44"/>
                              </w:rPr>
                              <w:t xml:space="preserve">— </w:t>
                            </w:r>
                            <w:r>
                              <w:rPr>
                                <w:rFonts w:hint="eastAsia" w:ascii="Times New Roman" w:hAnsi="Times New Roman"/>
                                <w:sz w:val="28"/>
                                <w:szCs w:val="44"/>
                                <w:lang w:val="en-US" w:eastAsia="zh-CN"/>
                              </w:rPr>
                              <w:t>19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44"/>
                              </w:rPr>
                              <w:t xml:space="preserve"> 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（四）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民生保障工作</w:t>
            </w:r>
          </w:p>
        </w:tc>
        <w:tc>
          <w:tcPr>
            <w:tcW w:w="476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8.协助做好社会保障相关工作。</w:t>
            </w:r>
          </w:p>
        </w:tc>
        <w:tc>
          <w:tcPr>
            <w:tcW w:w="2038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人社部门</w:t>
            </w:r>
          </w:p>
        </w:tc>
        <w:tc>
          <w:tcPr>
            <w:tcW w:w="464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《国务院关于建立统一的城乡居民基本养老保险制度的意见》（国发〔2014〕8号）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242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76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9.协助做好优抚救济相关工作。</w:t>
            </w:r>
          </w:p>
        </w:tc>
        <w:tc>
          <w:tcPr>
            <w:tcW w:w="2038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4"/>
                <w:lang w:eastAsia="zh-CN"/>
              </w:rPr>
              <w:t>民政、</w:t>
            </w: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退役军人</w:t>
            </w:r>
            <w:r>
              <w:rPr>
                <w:rFonts w:hint="eastAsia" w:ascii="Times New Roman" w:hAnsi="Times New Roman" w:eastAsia="仿宋"/>
                <w:color w:val="000000"/>
                <w:sz w:val="24"/>
                <w:lang w:eastAsia="zh-CN"/>
              </w:rPr>
              <w:t>事务</w:t>
            </w: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部门</w:t>
            </w:r>
          </w:p>
        </w:tc>
        <w:tc>
          <w:tcPr>
            <w:tcW w:w="464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</w:rPr>
              <w:t>《中华人民共和国城市居民委员会组织法》</w:t>
            </w: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第三条；党中央、国务院有关文件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1242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76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val="en-US" w:eastAsia="zh-CN" w:bidi="ar"/>
              </w:rPr>
              <w:t>10</w:t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.协助做好有关社会救助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  <w:t>相关</w:t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工作。</w:t>
            </w:r>
          </w:p>
        </w:tc>
        <w:tc>
          <w:tcPr>
            <w:tcW w:w="2038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民政部门</w:t>
            </w:r>
          </w:p>
        </w:tc>
        <w:tc>
          <w:tcPr>
            <w:tcW w:w="464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《社会救助暂行办法》第四条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124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76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val="en-US" w:eastAsia="zh-CN" w:bidi="ar"/>
              </w:rPr>
              <w:t>1</w:t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.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eastAsia="zh-CN" w:bidi="ar"/>
              </w:rPr>
              <w:t>协助开展居家社区养老服务，落实困难老年人探访关爱，协助做好助餐等</w:t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养老服务相关工作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eastAsia="zh-CN" w:bidi="ar"/>
              </w:rPr>
              <w:t>。</w:t>
            </w:r>
          </w:p>
        </w:tc>
        <w:tc>
          <w:tcPr>
            <w:tcW w:w="2038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民政部门</w:t>
            </w:r>
          </w:p>
        </w:tc>
        <w:tc>
          <w:tcPr>
            <w:tcW w:w="464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《天津市养老服务促进条例》第七条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24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76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val="en-US" w:eastAsia="zh-CN" w:bidi="ar"/>
              </w:rPr>
              <w:t>2</w:t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.协助医疗保障经办服务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eastAsia="zh-CN" w:bidi="ar"/>
              </w:rPr>
              <w:t>办理</w:t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。</w:t>
            </w:r>
          </w:p>
        </w:tc>
        <w:tc>
          <w:tcPr>
            <w:tcW w:w="2038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医疗保障部门</w:t>
            </w:r>
          </w:p>
        </w:tc>
        <w:tc>
          <w:tcPr>
            <w:tcW w:w="464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《中共中央 国务院关于深化医疗保障制度改革的意见》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124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76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val="en-US" w:eastAsia="zh-CN" w:bidi="ar"/>
              </w:rPr>
              <w:t>3</w:t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.协助宣传未成年人保护方面的法律法规，监督未成年人委托照护情况。</w:t>
            </w:r>
          </w:p>
        </w:tc>
        <w:tc>
          <w:tcPr>
            <w:tcW w:w="2038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民政部门、共青团、妇联</w:t>
            </w:r>
          </w:p>
        </w:tc>
        <w:tc>
          <w:tcPr>
            <w:tcW w:w="464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《中华人民共和国未成年人保护法》第四十三条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124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76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val="en-US" w:eastAsia="zh-CN" w:bidi="ar"/>
              </w:rPr>
              <w:t>4</w:t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.配合协助组织开展家庭暴力预防工作。</w:t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协助执行人民法院作出的人身安全保护令。</w:t>
            </w:r>
          </w:p>
        </w:tc>
        <w:tc>
          <w:tcPr>
            <w:tcW w:w="2038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"/>
                <w:color w:val="000000"/>
                <w:sz w:val="24"/>
                <w:lang w:eastAsia="zh-CN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妇联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eastAsia="zh-CN" w:bidi="ar"/>
              </w:rPr>
              <w:t>、公安部门、人民法院</w:t>
            </w:r>
          </w:p>
        </w:tc>
        <w:tc>
          <w:tcPr>
            <w:tcW w:w="464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《中华人民共和国反家庭暴力法》第八条、第三十二条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4" w:hRule="atLeast"/>
        </w:trPr>
        <w:tc>
          <w:tcPr>
            <w:tcW w:w="124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76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val="en-US" w:eastAsia="zh-CN" w:bidi="ar"/>
              </w:rPr>
              <w:t>5</w:t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.传染病暴发、流行时，协助做好疫情信息的收集和报告、人员的分散隔离、社区村庄封闭管理、环境卫生整治、困难家庭和人员帮扶、公共卫生措施的落实工作，宣传传染病防治的相关知识。</w:t>
            </w:r>
          </w:p>
        </w:tc>
        <w:tc>
          <w:tcPr>
            <w:tcW w:w="2038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卫生健康、财政、公安、民政、城市管理、交通等部门</w:t>
            </w:r>
          </w:p>
        </w:tc>
        <w:tc>
          <w:tcPr>
            <w:tcW w:w="464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《突发公共卫生事件应急条例》第四十条</w:t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《天津市突发公共卫生事件应急管理办法》第十七条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242" w:type="dxa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8"/>
                <w:szCs w:val="22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-807720</wp:posOffset>
                      </wp:positionH>
                      <wp:positionV relativeFrom="paragraph">
                        <wp:posOffset>-92710</wp:posOffset>
                      </wp:positionV>
                      <wp:extent cx="363855" cy="742950"/>
                      <wp:effectExtent l="4445" t="4445" r="12700" b="14605"/>
                      <wp:wrapNone/>
                      <wp:docPr id="2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3855" cy="742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FFFFFF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40" w:lineRule="exact"/>
                                    <w:textAlignment w:val="auto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44"/>
                                    </w:rPr>
                                    <w:t xml:space="preserve">— </w:t>
                                  </w:r>
                                  <w:r>
                                    <w:rPr>
                                      <w:rFonts w:hint="eastAsia" w:ascii="Times New Roman" w:hAnsi="Times New Roman"/>
                                      <w:sz w:val="28"/>
                                      <w:szCs w:val="44"/>
                                      <w:lang w:val="en-US" w:eastAsia="zh-CN"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44"/>
                                    </w:rPr>
                                    <w:t xml:space="preserve"> —</w:t>
                                  </w:r>
                                </w:p>
                              </w:txbxContent>
                            </wps:txbx>
                            <wps:bodyPr vert="eaVert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63.6pt;margin-top:-7.3pt;height:58.5pt;width:28.65pt;z-index:251660288;mso-width-relative:page;mso-height-relative:page;" fillcolor="#FFFFFF" filled="t" stroked="t" coordsize="21600,21600" o:gfxdata="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2oKku9cAAAAMAQAADwAAAAAAAAAB&#10;ACAAAAAiAAAAZHJzL2Rvd25yZXYueG1sUEsBAhQAFAAAAAgAh07iQF6sd9wRAgAAQwQAAA4AAAAA&#10;AAAAAQAgAAAAJgEAAGRycy9lMm9Eb2MueG1sUEsFBgAAAAAGAAYAWQEAAKkFAAAAAA==&#10;">
                      <v:fill on="t" focussize="0,0"/>
                      <v:stroke color="#FFFFFF" joinstyle="miter"/>
                      <v:imagedata o:title=""/>
                      <o:lock v:ext="edit" aspectratio="f"/>
                      <v:textbox style="layout-flow:vertical-ideographic;"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textAlignment w:val="auto"/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44"/>
                              </w:rPr>
                              <w:t xml:space="preserve">— </w:t>
                            </w:r>
                            <w:r>
                              <w:rPr>
                                <w:rFonts w:hint="eastAsia" w:ascii="Times New Roman" w:hAnsi="Times New Roman"/>
                                <w:sz w:val="28"/>
                                <w:szCs w:val="44"/>
                                <w:lang w:val="en-US" w:eastAsia="zh-CN"/>
                              </w:rPr>
                              <w:t>20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44"/>
                              </w:rPr>
                              <w:t xml:space="preserve"> 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2"/>
              </w:rPr>
              <w:t>类别</w:t>
            </w:r>
          </w:p>
        </w:tc>
        <w:tc>
          <w:tcPr>
            <w:tcW w:w="4763" w:type="dxa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黑体" w:hAnsi="黑体" w:eastAsia="黑体"/>
                <w:color w:val="000000"/>
                <w:sz w:val="28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2"/>
              </w:rPr>
              <w:t>工作事项</w:t>
            </w:r>
          </w:p>
        </w:tc>
        <w:tc>
          <w:tcPr>
            <w:tcW w:w="2038" w:type="dxa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黑体" w:hAnsi="黑体" w:eastAsia="黑体"/>
                <w:color w:val="000000"/>
                <w:sz w:val="28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2"/>
              </w:rPr>
              <w:t>责任单位</w:t>
            </w:r>
          </w:p>
        </w:tc>
        <w:tc>
          <w:tcPr>
            <w:tcW w:w="4642" w:type="dxa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黑体" w:hAnsi="黑体" w:eastAsia="黑体"/>
                <w:color w:val="000000"/>
                <w:sz w:val="28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2"/>
              </w:rPr>
              <w:t>法律法规及政策依据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124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（四）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民生保障工作</w:t>
            </w:r>
          </w:p>
        </w:tc>
        <w:tc>
          <w:tcPr>
            <w:tcW w:w="476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val="en-US" w:eastAsia="zh-CN" w:bidi="ar"/>
              </w:rPr>
              <w:t>16</w:t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.协助开展精神卫生工作和社区心理健康指导、精神卫生知识宣传教育活动。</w:t>
            </w:r>
          </w:p>
        </w:tc>
        <w:tc>
          <w:tcPr>
            <w:tcW w:w="2038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卫生健康部门、残联</w:t>
            </w:r>
          </w:p>
        </w:tc>
        <w:tc>
          <w:tcPr>
            <w:tcW w:w="464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《中华人民共和国精神卫生法》第十条、</w:t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第二十条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</w:trPr>
        <w:tc>
          <w:tcPr>
            <w:tcW w:w="124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76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val="en-US" w:eastAsia="zh-CN" w:bidi="ar"/>
              </w:rPr>
              <w:t>17</w:t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.协助开展有关艾滋病防治的法律、法规、政策和知识的宣传教育，发展有关艾滋病防治的公益事业，做好艾滋病防治工作。</w:t>
            </w:r>
          </w:p>
        </w:tc>
        <w:tc>
          <w:tcPr>
            <w:tcW w:w="2038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卫生健康部门</w:t>
            </w:r>
          </w:p>
        </w:tc>
        <w:tc>
          <w:tcPr>
            <w:tcW w:w="464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《艾滋病防治条例》第六条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8" w:hRule="atLeast"/>
        </w:trPr>
        <w:tc>
          <w:tcPr>
            <w:tcW w:w="124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76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val="en-US" w:eastAsia="zh-CN" w:bidi="ar"/>
              </w:rPr>
              <w:t>8.</w:t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配合做好本辖区居民的医疗纠纷处置工作。</w:t>
            </w:r>
          </w:p>
        </w:tc>
        <w:tc>
          <w:tcPr>
            <w:tcW w:w="2038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卫生健康、公安、司法行政、人社、财政、民政部门、银行保险监督管理机构</w:t>
            </w:r>
          </w:p>
        </w:tc>
        <w:tc>
          <w:tcPr>
            <w:tcW w:w="464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《天津市医疗纠纷处置条例》第七条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1" w:hRule="atLeast"/>
        </w:trPr>
        <w:tc>
          <w:tcPr>
            <w:tcW w:w="124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76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val="en-US" w:eastAsia="zh-CN" w:bidi="ar"/>
              </w:rPr>
              <w:t>19</w:t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.协助做好动物疫病预防与控制工作。</w:t>
            </w:r>
          </w:p>
        </w:tc>
        <w:tc>
          <w:tcPr>
            <w:tcW w:w="2038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农业农村部门</w:t>
            </w:r>
          </w:p>
        </w:tc>
        <w:tc>
          <w:tcPr>
            <w:tcW w:w="464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《中华人民共和国动物防疫法》第八条、第十八条、第三十条</w:t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《天津市动物防疫条例》第四条、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eastAsia="zh-CN" w:bidi="ar"/>
              </w:rPr>
              <w:t>第十一条、</w:t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第二十二条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</w:trPr>
        <w:tc>
          <w:tcPr>
            <w:tcW w:w="124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76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val="en-US" w:eastAsia="zh-CN" w:bidi="ar"/>
              </w:rPr>
              <w:t>20</w:t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.重大动物疫情应急处理中，协助做好疫情信息的收集、报告和各项应急处理措施的落实工作。</w:t>
            </w:r>
          </w:p>
        </w:tc>
        <w:tc>
          <w:tcPr>
            <w:tcW w:w="2038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农业农村部门</w:t>
            </w:r>
          </w:p>
        </w:tc>
        <w:tc>
          <w:tcPr>
            <w:tcW w:w="464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《重大动物疫情应急条例》第三十七条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4" w:hRule="atLeast"/>
        </w:trPr>
        <w:tc>
          <w:tcPr>
            <w:tcW w:w="1242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（五）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生态环境工作</w:t>
            </w:r>
          </w:p>
        </w:tc>
        <w:tc>
          <w:tcPr>
            <w:tcW w:w="476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val="en-US" w:eastAsia="zh-CN" w:bidi="ar"/>
              </w:rPr>
              <w:t>21</w:t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.村民委员会协助做好湿地保护相关工作。</w:t>
            </w:r>
          </w:p>
        </w:tc>
        <w:tc>
          <w:tcPr>
            <w:tcW w:w="2038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规划资源、水务、生态环境、农业农村部门</w:t>
            </w:r>
          </w:p>
        </w:tc>
        <w:tc>
          <w:tcPr>
            <w:tcW w:w="464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《中华人民共和国湿地保护法》第四条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</w:trPr>
        <w:tc>
          <w:tcPr>
            <w:tcW w:w="124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76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val="en-US" w:eastAsia="zh-CN" w:bidi="ar"/>
              </w:rPr>
              <w:t>2</w:t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.村民委员会配合做好农作物病虫害防治工作。</w:t>
            </w:r>
          </w:p>
        </w:tc>
        <w:tc>
          <w:tcPr>
            <w:tcW w:w="2038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农业农村部门</w:t>
            </w:r>
          </w:p>
        </w:tc>
        <w:tc>
          <w:tcPr>
            <w:tcW w:w="464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《农作物病虫害防治条例》第八条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242" w:type="dxa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8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2"/>
              </w:rPr>
              <w:t>类别</w:t>
            </w:r>
          </w:p>
        </w:tc>
        <w:tc>
          <w:tcPr>
            <w:tcW w:w="4763" w:type="dxa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黑体" w:hAnsi="黑体" w:eastAsia="黑体"/>
                <w:color w:val="000000"/>
                <w:sz w:val="28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2"/>
              </w:rPr>
              <w:t>工作事项</w:t>
            </w:r>
          </w:p>
        </w:tc>
        <w:tc>
          <w:tcPr>
            <w:tcW w:w="2038" w:type="dxa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黑体" w:hAnsi="黑体" w:eastAsia="黑体"/>
                <w:color w:val="000000"/>
                <w:sz w:val="28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2"/>
              </w:rPr>
              <w:t>责任单位</w:t>
            </w:r>
          </w:p>
        </w:tc>
        <w:tc>
          <w:tcPr>
            <w:tcW w:w="4642" w:type="dxa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黑体" w:hAnsi="黑体" w:eastAsia="黑体"/>
                <w:color w:val="000000"/>
                <w:sz w:val="28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2"/>
              </w:rPr>
              <w:t>法律法规及政策依据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242" w:type="dxa"/>
            <w:vMerge w:val="restart"/>
            <w:noWrap w:val="0"/>
            <w:vAlign w:val="center"/>
          </w:tcPr>
          <w:p>
            <w:pPr>
              <w:tabs>
                <w:tab w:val="left" w:pos="479"/>
              </w:tabs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（五）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生态环境工作</w:t>
            </w:r>
          </w:p>
        </w:tc>
        <w:tc>
          <w:tcPr>
            <w:tcW w:w="476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val="en-US" w:eastAsia="zh-CN" w:bidi="ar"/>
              </w:rPr>
              <w:t>3</w:t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.协助做好干旱灾害发生地区抗旱措施落实工作。</w:t>
            </w:r>
          </w:p>
        </w:tc>
        <w:tc>
          <w:tcPr>
            <w:tcW w:w="2038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水务部门</w:t>
            </w:r>
          </w:p>
        </w:tc>
        <w:tc>
          <w:tcPr>
            <w:tcW w:w="464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《中华人民共和国抗旱条例》第四十二条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124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76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val="en-US" w:eastAsia="zh-CN" w:bidi="ar"/>
              </w:rPr>
              <w:t>4</w:t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.协助做好环境卫生工作。配合做好生活垃圾源头减量和分类投放的组织、动员、宣传、指导工作。</w:t>
            </w:r>
          </w:p>
        </w:tc>
        <w:tc>
          <w:tcPr>
            <w:tcW w:w="2038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城市管理部门</w:t>
            </w:r>
          </w:p>
        </w:tc>
        <w:tc>
          <w:tcPr>
            <w:tcW w:w="464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《天津市市容和环境卫生管理条例》第五条</w:t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《天津市生活垃圾管理条例》第四十七条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24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76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val="en-US" w:eastAsia="zh-CN" w:bidi="ar"/>
              </w:rPr>
              <w:t>5</w:t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.协助做好噪声污染防治工作。</w:t>
            </w:r>
          </w:p>
        </w:tc>
        <w:tc>
          <w:tcPr>
            <w:tcW w:w="2038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生态环境部门</w:t>
            </w:r>
          </w:p>
        </w:tc>
        <w:tc>
          <w:tcPr>
            <w:tcW w:w="464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《中华人民共和国噪声污染防治法》第八条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4" w:hRule="atLeast"/>
        </w:trPr>
        <w:tc>
          <w:tcPr>
            <w:tcW w:w="1242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-768350</wp:posOffset>
                      </wp:positionH>
                      <wp:positionV relativeFrom="page">
                        <wp:posOffset>2827020</wp:posOffset>
                      </wp:positionV>
                      <wp:extent cx="363855" cy="742950"/>
                      <wp:effectExtent l="4445" t="4445" r="12700" b="14605"/>
                      <wp:wrapNone/>
                      <wp:docPr id="4" name="文本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3855" cy="742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FFFFFF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40" w:lineRule="exact"/>
                                    <w:textAlignment w:val="auto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44"/>
                                    </w:rPr>
                                    <w:t xml:space="preserve">— </w:t>
                                  </w:r>
                                  <w:r>
                                    <w:rPr>
                                      <w:rFonts w:hint="eastAsia" w:ascii="Times New Roman" w:hAnsi="Times New Roman"/>
                                      <w:sz w:val="28"/>
                                      <w:szCs w:val="44"/>
                                      <w:lang w:val="en-US" w:eastAsia="zh-CN"/>
                                    </w:rPr>
                                    <w:t>21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44"/>
                                    </w:rPr>
                                    <w:t xml:space="preserve"> —</w:t>
                                  </w:r>
                                </w:p>
                              </w:txbxContent>
                            </wps:txbx>
                            <wps:bodyPr vert="eaVert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60.5pt;margin-top:222.6pt;height:58.5pt;width:28.65pt;mso-position-vertical-relative:page;z-index:251663360;mso-width-relative:page;mso-height-relative:page;" fillcolor="#FFFFFF" filled="t" stroked="t" coordsize="21600,21600" o:gfxdata="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AtHAfS2QAAAAwBAAAPAAAAAAAA&#10;AAEAIAAAACIAAABkcnMvZG93bnJldi54bWxQSwECFAAUAAAACACHTuJA4NpeCBECAABDBAAADgAA&#10;AAAAAAABACAAAAAoAQAAZHJzL2Uyb0RvYy54bWxQSwUGAAAAAAYABgBZAQAAqwUAAAAA&#10;">
                      <v:fill on="t" focussize="0,0"/>
                      <v:stroke color="#FFFFFF" joinstyle="miter"/>
                      <v:imagedata o:title=""/>
                      <o:lock v:ext="edit" aspectratio="f"/>
                      <v:textbox style="layout-flow:vertical-ideographic;"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textAlignment w:val="auto"/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44"/>
                              </w:rPr>
                              <w:t xml:space="preserve">— </w:t>
                            </w:r>
                            <w:r>
                              <w:rPr>
                                <w:rFonts w:hint="eastAsia" w:ascii="Times New Roman" w:hAnsi="Times New Roman"/>
                                <w:sz w:val="28"/>
                                <w:szCs w:val="44"/>
                                <w:lang w:val="en-US" w:eastAsia="zh-CN"/>
                              </w:rPr>
                              <w:t>21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44"/>
                              </w:rPr>
                              <w:t xml:space="preserve"> 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（六）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公共安全和社会治理工作</w:t>
            </w:r>
          </w:p>
        </w:tc>
        <w:tc>
          <w:tcPr>
            <w:tcW w:w="476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val="en-US" w:eastAsia="zh-CN" w:bidi="ar"/>
              </w:rPr>
              <w:t>6</w:t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.协助维护社会治安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  <w:t>。</w:t>
            </w:r>
          </w:p>
        </w:tc>
        <w:tc>
          <w:tcPr>
            <w:tcW w:w="2038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公安部门</w:t>
            </w:r>
          </w:p>
        </w:tc>
        <w:tc>
          <w:tcPr>
            <w:tcW w:w="464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《中华人民共和国城市居民委员会组织法》第三条</w:t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《中华人民共和国村民委员会组织法》第二条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242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76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val="en-US" w:eastAsia="zh-CN" w:bidi="ar"/>
              </w:rPr>
              <w:t>27</w:t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.协助做好居住证的申领受理、发放等工作。</w:t>
            </w:r>
          </w:p>
        </w:tc>
        <w:tc>
          <w:tcPr>
            <w:tcW w:w="2038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公安部门</w:t>
            </w:r>
          </w:p>
        </w:tc>
        <w:tc>
          <w:tcPr>
            <w:tcW w:w="464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《居住证暂行条例》第八条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242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76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val="en-US" w:eastAsia="zh-CN" w:bidi="ar"/>
              </w:rPr>
              <w:t>28</w:t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.协助做好租赁房屋的安全防范、法制宣传教育和治安管理工作。</w:t>
            </w:r>
          </w:p>
        </w:tc>
        <w:tc>
          <w:tcPr>
            <w:tcW w:w="2038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公安部门</w:t>
            </w:r>
          </w:p>
        </w:tc>
        <w:tc>
          <w:tcPr>
            <w:tcW w:w="464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《租赁房屋治安管理规定》第四条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7" w:hRule="atLeast"/>
        </w:trPr>
        <w:tc>
          <w:tcPr>
            <w:tcW w:w="124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76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val="en-US" w:eastAsia="zh-CN" w:bidi="ar"/>
              </w:rPr>
              <w:t>9</w:t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.协助加强反恐怖主义宣传教育，建立反恐怖主义工作力量、志愿者队伍，协助、配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eastAsia="zh-CN" w:bidi="ar"/>
              </w:rPr>
              <w:t>合</w:t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开展反恐怖主义工作。</w:t>
            </w:r>
          </w:p>
        </w:tc>
        <w:tc>
          <w:tcPr>
            <w:tcW w:w="2038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公安、国家安全部门</w:t>
            </w:r>
          </w:p>
        </w:tc>
        <w:tc>
          <w:tcPr>
            <w:tcW w:w="464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《中华人民共和国反恐怖主义法》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eastAsia="zh-CN" w:bidi="ar"/>
              </w:rPr>
              <w:t>第八条、</w:t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第十七条、第七十四条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3" w:hRule="atLeast"/>
        </w:trPr>
        <w:tc>
          <w:tcPr>
            <w:tcW w:w="124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76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val="en-US" w:eastAsia="zh-CN" w:bidi="ar"/>
              </w:rPr>
              <w:t>30</w:t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.协助开展有组织犯罪预防和治理工作。</w:t>
            </w:r>
          </w:p>
        </w:tc>
        <w:tc>
          <w:tcPr>
            <w:tcW w:w="2038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监察机关、人民法院、人民检察院、公安、司法行政部门</w:t>
            </w:r>
          </w:p>
        </w:tc>
        <w:tc>
          <w:tcPr>
            <w:tcW w:w="464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《中华人民共和国反有组织犯罪法》第九条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242" w:type="dxa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8"/>
                <w:szCs w:val="22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-807720</wp:posOffset>
                      </wp:positionH>
                      <wp:positionV relativeFrom="paragraph">
                        <wp:posOffset>-114300</wp:posOffset>
                      </wp:positionV>
                      <wp:extent cx="363855" cy="742950"/>
                      <wp:effectExtent l="4445" t="4445" r="12700" b="14605"/>
                      <wp:wrapNone/>
                      <wp:docPr id="5" name="文本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3855" cy="742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FFFFFF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40" w:lineRule="exact"/>
                                    <w:textAlignment w:val="auto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44"/>
                                    </w:rPr>
                                    <w:t xml:space="preserve">— </w:t>
                                  </w:r>
                                  <w:r>
                                    <w:rPr>
                                      <w:rFonts w:hint="eastAsia" w:ascii="Times New Roman" w:hAnsi="Times New Roman"/>
                                      <w:sz w:val="28"/>
                                      <w:szCs w:val="44"/>
                                      <w:lang w:val="en-US" w:eastAsia="zh-CN"/>
                                    </w:rPr>
                                    <w:t>22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44"/>
                                    </w:rPr>
                                    <w:t xml:space="preserve"> —</w:t>
                                  </w:r>
                                </w:p>
                              </w:txbxContent>
                            </wps:txbx>
                            <wps:bodyPr vert="eaVert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63.6pt;margin-top:-9pt;height:58.5pt;width:28.65pt;z-index:251661312;mso-width-relative:page;mso-height-relative:page;" fillcolor="#FFFFFF" filled="t" stroked="t" coordsize="21600,21600" o:gfxdata="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CoVF57WAAAACwEAAA8AAAAAAAAAAQAg&#10;AAAAIgAAAGRycy9kb3ducmV2LnhtbFBLAQIUABQAAAAIAIdO4kDVs1IuEAIAAEMEAAAOAAAAAAAA&#10;AAEAIAAAACUBAABkcnMvZTJvRG9jLnhtbFBLBQYAAAAABgAGAFkBAACnBQAAAAA=&#10;">
                      <v:fill on="t" focussize="0,0"/>
                      <v:stroke color="#FFFFFF" joinstyle="miter"/>
                      <v:imagedata o:title=""/>
                      <o:lock v:ext="edit" aspectratio="f"/>
                      <v:textbox style="layout-flow:vertical-ideographic;"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textAlignment w:val="auto"/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44"/>
                              </w:rPr>
                              <w:t xml:space="preserve">— </w:t>
                            </w:r>
                            <w:r>
                              <w:rPr>
                                <w:rFonts w:hint="eastAsia" w:ascii="Times New Roman" w:hAnsi="Times New Roman"/>
                                <w:sz w:val="28"/>
                                <w:szCs w:val="44"/>
                                <w:lang w:val="en-US" w:eastAsia="zh-CN"/>
                              </w:rPr>
                              <w:t>22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44"/>
                              </w:rPr>
                              <w:t xml:space="preserve"> 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2"/>
              </w:rPr>
              <w:t>类别</w:t>
            </w:r>
          </w:p>
        </w:tc>
        <w:tc>
          <w:tcPr>
            <w:tcW w:w="4763" w:type="dxa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黑体" w:hAnsi="黑体" w:eastAsia="黑体"/>
                <w:color w:val="000000"/>
                <w:sz w:val="28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2"/>
              </w:rPr>
              <w:t>工作事项</w:t>
            </w:r>
          </w:p>
        </w:tc>
        <w:tc>
          <w:tcPr>
            <w:tcW w:w="2038" w:type="dxa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黑体" w:hAnsi="黑体" w:eastAsia="黑体"/>
                <w:color w:val="000000"/>
                <w:sz w:val="28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2"/>
              </w:rPr>
              <w:t>责任单位</w:t>
            </w:r>
          </w:p>
        </w:tc>
        <w:tc>
          <w:tcPr>
            <w:tcW w:w="4642" w:type="dxa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黑体" w:hAnsi="黑体" w:eastAsia="黑体"/>
                <w:color w:val="000000"/>
                <w:sz w:val="28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2"/>
              </w:rPr>
              <w:t>法律法规及政策依据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8" w:hRule="atLeast"/>
        </w:trPr>
        <w:tc>
          <w:tcPr>
            <w:tcW w:w="124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（六）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公共安全和社会治理工作</w:t>
            </w:r>
          </w:p>
        </w:tc>
        <w:tc>
          <w:tcPr>
            <w:tcW w:w="476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val="en-US" w:eastAsia="zh-CN" w:bidi="ar"/>
              </w:rPr>
              <w:t>31</w:t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.协助维护学校周围治安，及时掌握本辖区内未成年人的监护、就学和就业情况，组织、引导社区社会组织参与预防未成年人犯罪工作。</w:t>
            </w:r>
          </w:p>
        </w:tc>
        <w:tc>
          <w:tcPr>
            <w:tcW w:w="2038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  <w:t>公安、</w:t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司法行政部门</w:t>
            </w:r>
          </w:p>
        </w:tc>
        <w:tc>
          <w:tcPr>
            <w:tcW w:w="464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《中华人民共和国预防未成年人犯罪法》第二十五条、第五十七条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8" w:hRule="atLeast"/>
        </w:trPr>
        <w:tc>
          <w:tcPr>
            <w:tcW w:w="124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76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val="en-US" w:eastAsia="zh-CN" w:bidi="ar"/>
              </w:rPr>
              <w:t>32</w:t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.协助做好社区矫正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eastAsia="zh-CN" w:bidi="ar"/>
              </w:rPr>
              <w:t>、安置帮教</w:t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工作。</w:t>
            </w:r>
          </w:p>
        </w:tc>
        <w:tc>
          <w:tcPr>
            <w:tcW w:w="2038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司法行政部门</w:t>
            </w:r>
          </w:p>
        </w:tc>
        <w:tc>
          <w:tcPr>
            <w:tcW w:w="464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《中华人民共和国社区矫正法》第十二条、第十八条</w:t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《天津市平安建设条例》第三十三条</w:t>
            </w:r>
          </w:p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eastAsia="zh-CN" w:bidi="ar"/>
              </w:rPr>
              <w:t>中共中央办公厅、国务院办公厅有关文件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3" w:hRule="atLeast"/>
        </w:trPr>
        <w:tc>
          <w:tcPr>
            <w:tcW w:w="124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76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val="en-US" w:eastAsia="zh-CN" w:bidi="ar"/>
              </w:rPr>
              <w:t>33</w:t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.协助开展禁毒宣传教育、毒品预防、社区戒毒、社区康复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eastAsia="zh-CN" w:bidi="ar"/>
              </w:rPr>
              <w:t>、食品安全</w:t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等工作。</w:t>
            </w:r>
          </w:p>
        </w:tc>
        <w:tc>
          <w:tcPr>
            <w:tcW w:w="2038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公安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eastAsia="zh-CN" w:bidi="ar"/>
              </w:rPr>
              <w:t>、市场监管</w:t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部门</w:t>
            </w:r>
          </w:p>
        </w:tc>
        <w:tc>
          <w:tcPr>
            <w:tcW w:w="464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《中华人民共和国禁毒法》第十七条</w:t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《天津市禁毒条例》第九条</w:t>
            </w:r>
          </w:p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eastAsia="zh-CN" w:bidi="ar"/>
              </w:rPr>
              <w:t>国务院有关文件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124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76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val="en-US" w:eastAsia="zh-CN" w:bidi="ar"/>
              </w:rPr>
              <w:t>4</w:t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.协助查处传销行为。</w:t>
            </w:r>
          </w:p>
        </w:tc>
        <w:tc>
          <w:tcPr>
            <w:tcW w:w="2038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市场监管、公安部门</w:t>
            </w:r>
          </w:p>
        </w:tc>
        <w:tc>
          <w:tcPr>
            <w:tcW w:w="464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《禁止传销条例》第十二条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124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76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val="en-US" w:eastAsia="zh-CN" w:bidi="ar"/>
              </w:rPr>
              <w:t>35</w:t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.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eastAsia="zh-CN" w:bidi="ar"/>
              </w:rPr>
              <w:t>协助做好流浪犬、猫的控制和处置，防止疫病传播</w:t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。</w:t>
            </w:r>
          </w:p>
        </w:tc>
        <w:tc>
          <w:tcPr>
            <w:tcW w:w="2038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公安部门</w:t>
            </w:r>
          </w:p>
        </w:tc>
        <w:tc>
          <w:tcPr>
            <w:tcW w:w="464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《天津市养犬管理条例》第五条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124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76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val="en-US" w:eastAsia="zh-CN" w:bidi="ar"/>
              </w:rPr>
              <w:t>6</w:t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.协助维护突发事件发生地的社会秩序。</w:t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协助各级人民政府、街道办事处做好群众的组织、动员工作。配合组织开展应急演练。</w:t>
            </w:r>
          </w:p>
        </w:tc>
        <w:tc>
          <w:tcPr>
            <w:tcW w:w="2038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应急管理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eastAsia="zh-CN" w:bidi="ar"/>
              </w:rPr>
              <w:t>、公安</w:t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部门</w:t>
            </w:r>
          </w:p>
        </w:tc>
        <w:tc>
          <w:tcPr>
            <w:tcW w:w="464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《中华人民共和国突发事件应对法》第五十五条</w:t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《天津市实施〈中华人民共和国突发事件应对法〉办法》第七条、第二十九条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24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76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val="en-US" w:eastAsia="zh-CN" w:bidi="ar"/>
              </w:rPr>
              <w:t>7</w:t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.协助开展自然灾害救助工作。</w:t>
            </w:r>
          </w:p>
        </w:tc>
        <w:tc>
          <w:tcPr>
            <w:tcW w:w="2038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应急管理部门</w:t>
            </w:r>
          </w:p>
        </w:tc>
        <w:tc>
          <w:tcPr>
            <w:tcW w:w="464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《自然灾害救助条例》第五条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242" w:type="dxa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8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2"/>
              </w:rPr>
              <w:t>类别</w:t>
            </w:r>
          </w:p>
        </w:tc>
        <w:tc>
          <w:tcPr>
            <w:tcW w:w="4763" w:type="dxa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黑体" w:hAnsi="黑体" w:eastAsia="黑体"/>
                <w:color w:val="000000"/>
                <w:sz w:val="28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2"/>
              </w:rPr>
              <w:t>工作事项</w:t>
            </w:r>
          </w:p>
        </w:tc>
        <w:tc>
          <w:tcPr>
            <w:tcW w:w="2038" w:type="dxa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黑体" w:hAnsi="黑体" w:eastAsia="黑体"/>
                <w:color w:val="000000"/>
                <w:sz w:val="28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2"/>
              </w:rPr>
              <w:t>责任单位</w:t>
            </w:r>
          </w:p>
        </w:tc>
        <w:tc>
          <w:tcPr>
            <w:tcW w:w="4642" w:type="dxa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黑体" w:hAnsi="黑体" w:eastAsia="黑体"/>
                <w:color w:val="000000"/>
                <w:sz w:val="28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2"/>
              </w:rPr>
              <w:t>法律法规及政策依据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242" w:type="dxa"/>
            <w:vMerge w:val="restart"/>
            <w:noWrap w:val="0"/>
            <w:vAlign w:val="center"/>
          </w:tcPr>
          <w:p>
            <w:pPr>
              <w:tabs>
                <w:tab w:val="left" w:pos="492"/>
              </w:tabs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（六）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公共安全和社会治理工作</w:t>
            </w:r>
          </w:p>
        </w:tc>
        <w:tc>
          <w:tcPr>
            <w:tcW w:w="476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val="en-US" w:eastAsia="zh-CN" w:bidi="ar"/>
              </w:rPr>
              <w:t>8</w:t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.协助做好气象灾害防御知识的宣传和气象灾害应急演练工作。</w:t>
            </w:r>
          </w:p>
        </w:tc>
        <w:tc>
          <w:tcPr>
            <w:tcW w:w="2038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气象部门</w:t>
            </w:r>
          </w:p>
        </w:tc>
        <w:tc>
          <w:tcPr>
            <w:tcW w:w="464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《气象灾害防御条例》第十七条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24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76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val="en-US" w:eastAsia="zh-CN" w:bidi="ar"/>
              </w:rPr>
              <w:t>9</w:t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.协助做好生物安全风险防控、应急处置和宣传教育等工作。</w:t>
            </w:r>
          </w:p>
        </w:tc>
        <w:tc>
          <w:tcPr>
            <w:tcW w:w="2038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卫生健康、农业农村、科技等部门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eastAsia="zh-CN" w:bidi="ar"/>
              </w:rPr>
              <w:t>、科协</w:t>
            </w:r>
          </w:p>
        </w:tc>
        <w:tc>
          <w:tcPr>
            <w:tcW w:w="464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《中华人民共和国生物安全法》第七条、第十三条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1242" w:type="dxa"/>
            <w:vMerge w:val="continue"/>
            <w:noWrap w:val="0"/>
            <w:vAlign w:val="center"/>
          </w:tcPr>
          <w:p>
            <w:pPr>
              <w:tabs>
                <w:tab w:val="left" w:pos="492"/>
              </w:tabs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76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val="en-US" w:eastAsia="zh-CN" w:bidi="ar"/>
              </w:rPr>
              <w:t>40</w:t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.协助组织消防宣传教育、应急疏散演练，定期组织防火安全检查等工作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eastAsia="zh-CN" w:bidi="ar"/>
              </w:rPr>
              <w:t>。</w:t>
            </w:r>
          </w:p>
        </w:tc>
        <w:tc>
          <w:tcPr>
            <w:tcW w:w="2038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消防救援机构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  <w:t>、</w:t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公安、应急管理部门</w:t>
            </w:r>
          </w:p>
        </w:tc>
        <w:tc>
          <w:tcPr>
            <w:tcW w:w="464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《中华人民共和国消防法》第六条</w:t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《天津市消防条例》第七条</w:t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ascii="Times New Roman" w:hAnsi="Times New Roman" w:eastAsia="仿宋"/>
                <w:color w:val="000000"/>
                <w:spacing w:val="-6"/>
                <w:kern w:val="0"/>
                <w:sz w:val="24"/>
                <w:lang w:bidi="ar"/>
              </w:rPr>
              <w:t>《天津市消防安全责任制规定》第四十二条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4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76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val="en-US" w:eastAsia="zh-CN" w:bidi="ar"/>
              </w:rPr>
              <w:t>41</w:t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.配合燃气经营企业巡查人员进行入户安全检查。</w:t>
            </w:r>
          </w:p>
        </w:tc>
        <w:tc>
          <w:tcPr>
            <w:tcW w:w="2038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城市管理部门</w:t>
            </w:r>
          </w:p>
        </w:tc>
        <w:tc>
          <w:tcPr>
            <w:tcW w:w="464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《天津市燃气管理条例》第二十九条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24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（七）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国防动员工作</w:t>
            </w:r>
          </w:p>
        </w:tc>
        <w:tc>
          <w:tcPr>
            <w:tcW w:w="476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"/>
                <w:color w:val="000000"/>
                <w:sz w:val="24"/>
                <w:lang w:eastAsia="zh-CN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4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val="en-US" w:eastAsia="zh-CN" w:bidi="ar"/>
              </w:rPr>
              <w:t>2</w:t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.配合对体格检查合格的应征公民认真进行政治审查，重点查清他们的现实表现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eastAsia="zh-CN" w:bidi="ar"/>
              </w:rPr>
              <w:t>。</w:t>
            </w:r>
          </w:p>
        </w:tc>
        <w:tc>
          <w:tcPr>
            <w:tcW w:w="2038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征兵工作部门</w:t>
            </w:r>
          </w:p>
        </w:tc>
        <w:tc>
          <w:tcPr>
            <w:tcW w:w="464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《征兵工作条例》第二十一条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5" w:hRule="atLeast"/>
        </w:trPr>
        <w:tc>
          <w:tcPr>
            <w:tcW w:w="1242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（八）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-768350</wp:posOffset>
                      </wp:positionH>
                      <wp:positionV relativeFrom="page">
                        <wp:posOffset>1899920</wp:posOffset>
                      </wp:positionV>
                      <wp:extent cx="363855" cy="742950"/>
                      <wp:effectExtent l="4445" t="4445" r="12700" b="14605"/>
                      <wp:wrapNone/>
                      <wp:docPr id="6" name="文本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3855" cy="742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FFFFFF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40" w:lineRule="exact"/>
                                    <w:textAlignment w:val="auto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44"/>
                                    </w:rPr>
                                    <w:t xml:space="preserve">— </w:t>
                                  </w:r>
                                  <w:r>
                                    <w:rPr>
                                      <w:rFonts w:hint="eastAsia" w:ascii="Times New Roman" w:hAnsi="Times New Roman"/>
                                      <w:sz w:val="28"/>
                                      <w:szCs w:val="44"/>
                                      <w:lang w:val="en-US" w:eastAsia="zh-CN"/>
                                    </w:rPr>
                                    <w:t>23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44"/>
                                    </w:rPr>
                                    <w:t xml:space="preserve"> —</w:t>
                                  </w:r>
                                </w:p>
                              </w:txbxContent>
                            </wps:txbx>
                            <wps:bodyPr vert="eaVert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60.5pt;margin-top:149.6pt;height:58.5pt;width:28.65pt;mso-position-vertical-relative:page;z-index:251664384;mso-width-relative:page;mso-height-relative:page;" fillcolor="#FFFFFF" filled="t" stroked="t" coordsize="21600,21600" o:gfxdata="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DmB4rt1wAAAAwBAAAPAAAAAAAAAAEA&#10;IAAAACIAAABkcnMvZG93bnJldi54bWxQSwECFAAUAAAACACHTuJAighGRBACAABDBAAADgAAAAAA&#10;AAABACAAAAAmAQAAZHJzL2Uyb0RvYy54bWxQSwUGAAAAAAYABgBZAQAAqAUAAAAA&#10;">
                      <v:fill on="t" focussize="0,0"/>
                      <v:stroke color="#FFFFFF" joinstyle="miter"/>
                      <v:imagedata o:title=""/>
                      <o:lock v:ext="edit" aspectratio="f"/>
                      <v:textbox style="layout-flow:vertical-ideographic;"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textAlignment w:val="auto"/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44"/>
                              </w:rPr>
                              <w:t xml:space="preserve">— </w:t>
                            </w:r>
                            <w:r>
                              <w:rPr>
                                <w:rFonts w:hint="eastAsia" w:ascii="Times New Roman" w:hAnsi="Times New Roman"/>
                                <w:sz w:val="28"/>
                                <w:szCs w:val="44"/>
                                <w:lang w:val="en-US" w:eastAsia="zh-CN"/>
                              </w:rPr>
                              <w:t>23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44"/>
                              </w:rPr>
                              <w:t xml:space="preserve"> 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其他工作</w:t>
            </w:r>
          </w:p>
        </w:tc>
        <w:tc>
          <w:tcPr>
            <w:tcW w:w="476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4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val="en-US" w:eastAsia="zh-CN" w:bidi="ar"/>
              </w:rPr>
              <w:t>3</w:t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.协助管理宗教事务，发现利用宗教干预基层公共事务或者从事其他违法活动的，应当及时向当地人民政府报告，对宗教临时活动地点的活动进行监督管理。</w:t>
            </w:r>
          </w:p>
        </w:tc>
        <w:tc>
          <w:tcPr>
            <w:tcW w:w="2038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民族宗教部门</w:t>
            </w:r>
          </w:p>
        </w:tc>
        <w:tc>
          <w:tcPr>
            <w:tcW w:w="464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《宗教事务条例》第六条</w:t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《天津市宗教事务条例》第六条、第二十五条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24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76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4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val="en-US" w:eastAsia="zh-CN" w:bidi="ar"/>
              </w:rPr>
              <w:t>4</w:t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.协助做好本区域的人口普查工作。</w:t>
            </w:r>
          </w:p>
        </w:tc>
        <w:tc>
          <w:tcPr>
            <w:tcW w:w="2038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统计部门</w:t>
            </w:r>
          </w:p>
        </w:tc>
        <w:tc>
          <w:tcPr>
            <w:tcW w:w="464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《全国人口普查条例》第三条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24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76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4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val="en-US" w:eastAsia="zh-CN" w:bidi="ar"/>
              </w:rPr>
              <w:t>5</w:t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.协助做好本村村道的建设、养护和管理相关工作。</w:t>
            </w:r>
          </w:p>
        </w:tc>
        <w:tc>
          <w:tcPr>
            <w:tcW w:w="2038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交通运输部门</w:t>
            </w:r>
          </w:p>
        </w:tc>
        <w:tc>
          <w:tcPr>
            <w:tcW w:w="464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《天津市公路管理条例》第四十六条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24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76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4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val="en-US" w:eastAsia="zh-CN" w:bidi="ar"/>
              </w:rPr>
              <w:t>6</w:t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.其他法律法规明确应当协助的工作。</w:t>
            </w:r>
          </w:p>
        </w:tc>
        <w:tc>
          <w:tcPr>
            <w:tcW w:w="2038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color w:val="000000"/>
                <w:spacing w:val="-11"/>
                <w:kern w:val="0"/>
                <w:sz w:val="24"/>
                <w:lang w:bidi="ar"/>
              </w:rPr>
              <w:t>相关</w:t>
            </w:r>
            <w:r>
              <w:rPr>
                <w:rFonts w:ascii="Times New Roman" w:hAnsi="Times New Roman" w:eastAsia="仿宋"/>
                <w:color w:val="000000"/>
                <w:spacing w:val="-11"/>
                <w:kern w:val="0"/>
                <w:sz w:val="24"/>
                <w:lang w:bidi="ar"/>
              </w:rPr>
              <w:t>法律法规明确</w:t>
            </w:r>
            <w:r>
              <w:rPr>
                <w:rFonts w:hint="eastAsia" w:ascii="Times New Roman" w:hAnsi="Times New Roman" w:eastAsia="仿宋"/>
                <w:color w:val="000000"/>
                <w:spacing w:val="-11"/>
                <w:kern w:val="0"/>
                <w:sz w:val="24"/>
                <w:lang w:bidi="ar"/>
              </w:rPr>
              <w:t>的业务主管部门</w:t>
            </w:r>
          </w:p>
        </w:tc>
        <w:tc>
          <w:tcPr>
            <w:tcW w:w="464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Q4YzlhMzk0Yzc2ZjdkZmQzNDBkZTk5Y2EwM2QzYTAifQ=="/>
  </w:docVars>
  <w:rsids>
    <w:rsidRoot w:val="00000000"/>
    <w:rsid w:val="2AC40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2023-02-06T02:04:26Z</dcterms:created>
  <dc:creator>1</dc:creator>
  <cp:lastModifiedBy>sai</cp:lastModifiedBy>
  <dcterms:modified xsi:type="dcterms:W3CDTF">2023-02-06T02:14:16Z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B8A6A40F7294460FB2DF07C6733BE9EF</vt:lpwstr>
  </property>
</Properties>
</file>