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关于印发深化嵌入式养老服务机构发展 “建管扶用”23条措施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sz w:val="28"/>
          <w:szCs w:val="28"/>
        </w:rPr>
      </w:pPr>
      <w:r>
        <w:rPr>
          <w:rFonts w:ascii="仿宋" w:hAnsi="仿宋" w:eastAsia="仿宋" w:cs="仿宋"/>
          <w:sz w:val="28"/>
          <w:szCs w:val="28"/>
          <w:bdr w:val="none" w:color="auto" w:sz="0" w:space="0"/>
        </w:rPr>
        <w:t>各区</w:t>
      </w:r>
      <w:r>
        <w:rPr>
          <w:rFonts w:hint="eastAsia" w:ascii="仿宋" w:hAnsi="仿宋" w:eastAsia="仿宋" w:cs="仿宋"/>
          <w:sz w:val="28"/>
          <w:szCs w:val="28"/>
          <w:bdr w:val="none" w:color="auto" w:sz="0" w:space="0"/>
        </w:rPr>
        <w:t>民政局、发展改革委、财政局，市规划资源局各区分局，各区住房城乡建设委、卫生健康委、市场监管局、医保局、政务服务办、税务局、消防救援支队：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党的二十大提出，实施积极应对人口老龄化国家战略，发展养老事业和养老产业，优化孤寡老人服务，推动实现全体老年人享有基本养老服务。</w:t>
      </w:r>
      <w:r>
        <w:rPr>
          <w:rFonts w:hint="default" w:ascii="Times New Roman" w:hAnsi="Times New Roman" w:eastAsia="仿宋" w:cs="Times New Roman"/>
          <w:sz w:val="28"/>
          <w:szCs w:val="28"/>
          <w:bdr w:val="none" w:color="auto" w:sz="0" w:space="0"/>
        </w:rPr>
        <w:t>2022</w:t>
      </w:r>
      <w:r>
        <w:rPr>
          <w:rFonts w:hint="eastAsia" w:ascii="仿宋" w:hAnsi="仿宋" w:eastAsia="仿宋" w:cs="仿宋"/>
          <w:sz w:val="28"/>
          <w:szCs w:val="28"/>
          <w:bdr w:val="none" w:color="auto" w:sz="0" w:space="0"/>
        </w:rPr>
        <w:t>年初，市委、市政府将建设养老服务综合体（含嵌入式养老服务机构）列入年度</w:t>
      </w:r>
      <w:r>
        <w:rPr>
          <w:rFonts w:hint="default" w:ascii="Times New Roman" w:hAnsi="Times New Roman" w:eastAsia="仿宋" w:cs="Times New Roman"/>
          <w:sz w:val="28"/>
          <w:szCs w:val="28"/>
          <w:bdr w:val="none" w:color="auto" w:sz="0" w:space="0"/>
        </w:rPr>
        <w:t>20</w:t>
      </w:r>
      <w:r>
        <w:rPr>
          <w:rFonts w:hint="eastAsia" w:ascii="仿宋" w:hAnsi="仿宋" w:eastAsia="仿宋" w:cs="仿宋"/>
          <w:sz w:val="28"/>
          <w:szCs w:val="28"/>
          <w:bdr w:val="none" w:color="auto" w:sz="0" w:space="0"/>
        </w:rPr>
        <w:t>项民心工程首位。为更好地满足居家老年人“原居养老”需求，构建居家社区养老服务网络，打造“一刻钟”居家养老服务圈，着力增加综合性养老服务供给，解决好嵌入式养老服务机构在建设、管理、扶持、使用等方面的一些实际问题，推进嵌入式养老服务机构可持续发展，市民政局、市发展改革委、市财政局、市规划资源局、市住房城乡建设委、市卫生健康委、市市场监管委 、市医保局、市政务服务办、市税务局、市消防救援总队等</w:t>
      </w:r>
      <w:r>
        <w:rPr>
          <w:rFonts w:hint="default" w:ascii="Times New Roman" w:hAnsi="Times New Roman" w:eastAsia="仿宋" w:cs="Times New Roman"/>
          <w:sz w:val="28"/>
          <w:szCs w:val="28"/>
          <w:bdr w:val="none" w:color="auto" w:sz="0" w:space="0"/>
        </w:rPr>
        <w:t>1</w:t>
      </w:r>
      <w:r>
        <w:rPr>
          <w:rFonts w:hint="default" w:ascii="Times New Roman" w:hAnsi="Times New Roman" w:cs="Times New Roman"/>
          <w:sz w:val="28"/>
          <w:szCs w:val="28"/>
          <w:bdr w:val="none" w:color="auto" w:sz="0" w:space="0"/>
        </w:rPr>
        <w:t>1</w:t>
      </w:r>
      <w:r>
        <w:rPr>
          <w:rFonts w:hint="eastAsia" w:ascii="仿宋" w:hAnsi="仿宋" w:eastAsia="仿宋" w:cs="仿宋"/>
          <w:sz w:val="28"/>
          <w:szCs w:val="28"/>
          <w:bdr w:val="none" w:color="auto" w:sz="0" w:space="0"/>
        </w:rPr>
        <w:t>部门联合印发《关于深化嵌入式养老服务机构“建管扶用”</w:t>
      </w:r>
      <w:r>
        <w:rPr>
          <w:rFonts w:hint="default" w:ascii="Times New Roman" w:hAnsi="Times New Roman" w:cs="Times New Roman"/>
          <w:sz w:val="28"/>
          <w:szCs w:val="28"/>
          <w:bdr w:val="none" w:color="auto" w:sz="0" w:space="0"/>
        </w:rPr>
        <w:t>2</w:t>
      </w:r>
      <w:r>
        <w:rPr>
          <w:rFonts w:hint="default" w:ascii="Times New Roman" w:hAnsi="Times New Roman" w:eastAsia="仿宋" w:cs="Times New Roman"/>
          <w:sz w:val="28"/>
          <w:szCs w:val="28"/>
          <w:bdr w:val="none" w:color="auto" w:sz="0" w:space="0"/>
        </w:rPr>
        <w:t>3</w:t>
      </w:r>
      <w:r>
        <w:rPr>
          <w:rFonts w:hint="eastAsia" w:ascii="仿宋" w:hAnsi="仿宋" w:eastAsia="仿宋" w:cs="仿宋"/>
          <w:sz w:val="28"/>
          <w:szCs w:val="28"/>
          <w:bdr w:val="none" w:color="auto" w:sz="0" w:space="0"/>
        </w:rPr>
        <w:t>条措施》，请认真贯彻执行。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30"/>
        <w:jc w:val="both"/>
        <w:rPr>
          <w:sz w:val="28"/>
          <w:szCs w:val="28"/>
        </w:rPr>
      </w:pPr>
      <w:r>
        <w:rPr>
          <w:rFonts w:hint="eastAsia" w:ascii="仿宋" w:hAnsi="仿宋" w:eastAsia="仿宋" w:cs="仿宋"/>
          <w:sz w:val="28"/>
          <w:szCs w:val="28"/>
          <w:bdr w:val="none" w:color="auto" w:sz="0" w:space="0"/>
          <w:shd w:val="clear" w:fill="FFFFFF"/>
        </w:rPr>
        <w:t>各区、各单位要将嵌入式养老服务机构发展作为当前加快居家社区养老服务工作的重要抓手，主动作为、整体推进，因地制宜与城市更新有效衔接，与乡村振兴高效融合，作为“十四五”时期养老服务的着力点、解决大城市养老的切入点、居家养老的突破点，下大力气抓实抓好抓出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3710"/>
        <w:jc w:val="right"/>
        <w:rPr>
          <w:sz w:val="28"/>
          <w:szCs w:val="28"/>
        </w:rPr>
      </w:pPr>
      <w:r>
        <w:rPr>
          <w:rFonts w:hint="default" w:ascii="Times New Roman" w:hAnsi="Times New Roman" w:eastAsia="仿宋" w:cs="Times New Roman"/>
          <w:sz w:val="28"/>
          <w:szCs w:val="28"/>
          <w:bdr w:val="none" w:color="auto" w:sz="0" w:space="0"/>
        </w:rPr>
        <w:t>2022</w:t>
      </w:r>
      <w:r>
        <w:rPr>
          <w:rFonts w:hint="eastAsia" w:ascii="仿宋" w:hAnsi="仿宋" w:eastAsia="仿宋" w:cs="仿宋"/>
          <w:sz w:val="28"/>
          <w:szCs w:val="28"/>
          <w:bdr w:val="none" w:color="auto" w:sz="0" w:space="0"/>
        </w:rPr>
        <w:t>年</w:t>
      </w:r>
      <w:r>
        <w:rPr>
          <w:rFonts w:hint="default" w:ascii="Times New Roman" w:hAnsi="Times New Roman" w:cs="Times New Roman"/>
          <w:sz w:val="28"/>
          <w:szCs w:val="28"/>
          <w:bdr w:val="none" w:color="auto" w:sz="0" w:space="0"/>
        </w:rPr>
        <w:t>11</w:t>
      </w:r>
      <w:r>
        <w:rPr>
          <w:rFonts w:hint="eastAsia" w:ascii="仿宋" w:hAnsi="仿宋" w:eastAsia="仿宋" w:cs="仿宋"/>
          <w:sz w:val="28"/>
          <w:szCs w:val="28"/>
          <w:bdr w:val="none" w:color="auto" w:sz="0" w:space="0"/>
        </w:rPr>
        <w:t>月</w:t>
      </w:r>
      <w:r>
        <w:rPr>
          <w:rFonts w:hint="default" w:ascii="Times New Roman" w:hAnsi="Times New Roman" w:cs="Times New Roman"/>
          <w:sz w:val="28"/>
          <w:szCs w:val="28"/>
          <w:bdr w:val="none" w:color="auto" w:sz="0" w:space="0"/>
        </w:rPr>
        <w:t>1</w:t>
      </w:r>
      <w:r>
        <w:rPr>
          <w:rFonts w:hint="eastAsia" w:ascii="仿宋" w:hAnsi="仿宋" w:eastAsia="仿宋" w:cs="仿宋"/>
          <w:sz w:val="28"/>
          <w:szCs w:val="28"/>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ascii="Calibri" w:hAnsi="Calibri" w:cs="Calibri"/>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sz w:val="28"/>
          <w:szCs w:val="28"/>
        </w:rPr>
      </w:pPr>
      <w:r>
        <w:rPr>
          <w:rFonts w:ascii="方正小标宋简体" w:hAnsi="方正小标宋简体" w:eastAsia="方正小标宋简体" w:cs="方正小标宋简体"/>
          <w:sz w:val="28"/>
          <w:szCs w:val="28"/>
          <w:bdr w:val="none" w:color="auto" w:sz="0" w:space="0"/>
        </w:rPr>
        <w:t>关于深化</w:t>
      </w:r>
      <w:r>
        <w:rPr>
          <w:rFonts w:hint="default" w:ascii="方正小标宋简体" w:hAnsi="方正小标宋简体" w:eastAsia="方正小标宋简体" w:cs="方正小标宋简体"/>
          <w:sz w:val="28"/>
          <w:szCs w:val="28"/>
          <w:bdr w:val="none" w:color="auto" w:sz="0" w:space="0"/>
        </w:rPr>
        <w:t>嵌入式养老服务机构发展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sz w:val="28"/>
          <w:szCs w:val="28"/>
        </w:rPr>
      </w:pPr>
      <w:r>
        <w:rPr>
          <w:rFonts w:hint="eastAsia" w:ascii="仿宋" w:hAnsi="仿宋" w:eastAsia="仿宋" w:cs="仿宋"/>
          <w:sz w:val="28"/>
          <w:szCs w:val="28"/>
          <w:bdr w:val="none" w:color="auto" w:sz="0" w:space="0"/>
        </w:rPr>
        <w:t>“</w:t>
      </w:r>
      <w:r>
        <w:rPr>
          <w:rFonts w:hint="default" w:ascii="方正小标宋简体" w:hAnsi="方正小标宋简体" w:eastAsia="方正小标宋简体" w:cs="方正小标宋简体"/>
          <w:sz w:val="28"/>
          <w:szCs w:val="28"/>
          <w:bdr w:val="none" w:color="auto" w:sz="0" w:space="0"/>
        </w:rPr>
        <w:t>建管扶用</w:t>
      </w:r>
      <w:r>
        <w:rPr>
          <w:rFonts w:hint="eastAsia" w:ascii="仿宋" w:hAnsi="仿宋" w:eastAsia="仿宋" w:cs="仿宋"/>
          <w:sz w:val="28"/>
          <w:szCs w:val="28"/>
          <w:bdr w:val="none" w:color="auto" w:sz="0" w:space="0"/>
        </w:rPr>
        <w:t>”</w:t>
      </w:r>
      <w:r>
        <w:rPr>
          <w:rFonts w:hint="default" w:ascii="方正小标宋简体" w:hAnsi="方正小标宋简体" w:eastAsia="方正小标宋简体" w:cs="方正小标宋简体"/>
          <w:sz w:val="28"/>
          <w:szCs w:val="28"/>
          <w:bdr w:val="none" w:color="auto" w:sz="0" w:space="0"/>
        </w:rPr>
        <w:t>23条措施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嵌入式养老服务机构（以下简称“嵌入式机构”）是指充分依托社区养老服务设施等资源建设，主要为社区内和周边有需要的老年人提供全日托养、日间照料、上门服务、区域协调指导等综合性养老服务，具备独立法人资质或由具有法人资质的专业团队连锁运营的居家社区养老服务机构。为构建居家社区养老服务网络，在市级相关部门支持下，市民政局印发《关于推进社区嵌入式养老服务机构发展的指导意见》（津民发〔</w:t>
      </w:r>
      <w:r>
        <w:rPr>
          <w:rFonts w:hint="default" w:ascii="Times New Roman" w:hAnsi="Times New Roman" w:eastAsia="仿宋" w:cs="Times New Roman"/>
          <w:sz w:val="28"/>
          <w:szCs w:val="28"/>
          <w:bdr w:val="none" w:color="auto" w:sz="0" w:space="0"/>
        </w:rPr>
        <w:t>2021</w:t>
      </w: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29</w:t>
      </w:r>
      <w:r>
        <w:rPr>
          <w:rFonts w:hint="eastAsia" w:ascii="仿宋" w:hAnsi="仿宋" w:eastAsia="仿宋" w:cs="仿宋"/>
          <w:sz w:val="28"/>
          <w:szCs w:val="28"/>
          <w:bdr w:val="none" w:color="auto" w:sz="0" w:space="0"/>
        </w:rPr>
        <w:t>号），定义了嵌入式机构的分类规模，规范了“三区一平台”的基本设置，推出了“三入四嵌一床位”的服务功能，探索了一批试点。本措施适用于街道（乡镇）区域型嵌入式机构。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ascii="黑体" w:hAnsi="宋体" w:eastAsia="黑体" w:cs="黑体"/>
          <w:sz w:val="28"/>
          <w:szCs w:val="28"/>
          <w:bdr w:val="none" w:color="auto" w:sz="0" w:space="0"/>
        </w:rPr>
        <w:t>一</w:t>
      </w:r>
      <w:r>
        <w:rPr>
          <w:rFonts w:hint="eastAsia" w:ascii="黑体" w:hAnsi="宋体" w:eastAsia="黑体" w:cs="黑体"/>
          <w:sz w:val="28"/>
          <w:szCs w:val="28"/>
          <w:bdr w:val="none" w:color="auto" w:sz="0" w:space="0"/>
        </w:rPr>
        <w:t>、推进建设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1. </w:t>
      </w:r>
      <w:r>
        <w:rPr>
          <w:rFonts w:ascii="楷体" w:hAnsi="楷体" w:eastAsia="楷体" w:cs="楷体"/>
          <w:sz w:val="28"/>
          <w:szCs w:val="28"/>
          <w:bdr w:val="none" w:color="auto" w:sz="0" w:space="0"/>
        </w:rPr>
        <w:t>加强</w:t>
      </w:r>
      <w:r>
        <w:rPr>
          <w:rFonts w:hint="eastAsia" w:ascii="楷体" w:hAnsi="楷体" w:eastAsia="楷体" w:cs="楷体"/>
          <w:sz w:val="28"/>
          <w:szCs w:val="28"/>
          <w:bdr w:val="none" w:color="auto" w:sz="0" w:space="0"/>
        </w:rPr>
        <w:t>规划用地</w:t>
      </w:r>
      <w:r>
        <w:rPr>
          <w:rFonts w:hint="eastAsia" w:ascii="仿宋" w:hAnsi="仿宋" w:eastAsia="仿宋" w:cs="仿宋"/>
          <w:sz w:val="28"/>
          <w:szCs w:val="28"/>
          <w:bdr w:val="none" w:color="auto" w:sz="0" w:space="0"/>
        </w:rPr>
        <w:t>。对于需要新建设嵌入式机构的，各区在编制土地供应计划时，充分结合规划和养老用地需求，对养老用地进行合理安排，应保尽保。非营利性嵌入式机构可按照划拨方式供地，单独供应的营利性嵌入式机构，应当以租赁、先租后让、出让等有偿方式供应。利用存量建设用地建设嵌入式机构的，涉及改变土地用途的，经审查符合详细规划的，市、区自然资源主管部门依法依规办理土地用途改变手续。其中，用于建设非营利性嵌入式机构的，原划拨土地可继续划拨使用，原有偿使用的土地可不增收改变规划条件的地价款。用于建设营利性嵌入式机构的，原划拨使用的土地，经市、区人民政府批准，土地使用权人可以与市、区自然资源主管部门签订国有建设用地有偿使用合同变更协议或重新签订合同，调整有偿使用价款。嵌入式机构所使用存量房屋，在符合规划且不改变用地主体的条件下适用过渡期政策，五年内继续按原用途和权利类型使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2. </w:t>
      </w:r>
      <w:r>
        <w:rPr>
          <w:rFonts w:hint="eastAsia" w:ascii="楷体" w:hAnsi="楷体" w:eastAsia="楷体" w:cs="楷体"/>
          <w:sz w:val="28"/>
          <w:szCs w:val="28"/>
          <w:bdr w:val="none" w:color="auto" w:sz="0" w:space="0"/>
        </w:rPr>
        <w:t>拓宽用地兼容性</w:t>
      </w:r>
      <w:r>
        <w:rPr>
          <w:rFonts w:hint="eastAsia" w:ascii="仿宋" w:hAnsi="仿宋" w:eastAsia="仿宋" w:cs="仿宋"/>
          <w:sz w:val="28"/>
          <w:szCs w:val="28"/>
          <w:bdr w:val="none" w:color="auto" w:sz="0" w:space="0"/>
        </w:rPr>
        <w:t>。按照《天津市规划用地兼容性管理暂行规定》兼容不超过地上总建筑规模</w:t>
      </w:r>
      <w:r>
        <w:rPr>
          <w:rFonts w:hint="default" w:ascii="Times New Roman" w:hAnsi="Times New Roman" w:cs="Times New Roman"/>
          <w:sz w:val="28"/>
          <w:szCs w:val="28"/>
          <w:bdr w:val="none" w:color="auto" w:sz="0" w:space="0"/>
        </w:rPr>
        <w:t>15%</w:t>
      </w:r>
      <w:r>
        <w:rPr>
          <w:rFonts w:hint="eastAsia" w:ascii="仿宋" w:hAnsi="仿宋" w:eastAsia="仿宋" w:cs="仿宋"/>
          <w:sz w:val="28"/>
          <w:szCs w:val="28"/>
          <w:bdr w:val="none" w:color="auto" w:sz="0" w:space="0"/>
        </w:rPr>
        <w:t>的社区公益性设施，新增嵌入式机构增加的面积可不计入容积率。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3. </w:t>
      </w:r>
      <w:r>
        <w:rPr>
          <w:rFonts w:hint="eastAsia" w:ascii="楷体" w:hAnsi="楷体" w:eastAsia="楷体" w:cs="楷体"/>
          <w:sz w:val="28"/>
          <w:szCs w:val="28"/>
          <w:bdr w:val="none" w:color="auto" w:sz="0" w:space="0"/>
        </w:rPr>
        <w:t>完善社区配套。</w:t>
      </w:r>
      <w:r>
        <w:rPr>
          <w:rFonts w:hint="eastAsia" w:ascii="仿宋" w:hAnsi="仿宋" w:eastAsia="仿宋" w:cs="仿宋"/>
          <w:sz w:val="28"/>
          <w:szCs w:val="28"/>
          <w:bdr w:val="none" w:color="auto" w:sz="0" w:space="0"/>
        </w:rPr>
        <w:t>各区要严格落实《国务院关于印发“十四五”国家老龄事业发展和养老服务体系规划的通知》（国发〔</w:t>
      </w:r>
      <w:r>
        <w:rPr>
          <w:rFonts w:hint="default" w:ascii="Times New Roman" w:hAnsi="Times New Roman" w:eastAsia="仿宋" w:cs="Times New Roman"/>
          <w:sz w:val="28"/>
          <w:szCs w:val="28"/>
          <w:bdr w:val="none" w:color="auto" w:sz="0" w:space="0"/>
        </w:rPr>
        <w:t>2021</w:t>
      </w: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35</w:t>
      </w:r>
      <w:r>
        <w:rPr>
          <w:rFonts w:hint="eastAsia" w:ascii="仿宋" w:hAnsi="仿宋" w:eastAsia="仿宋" w:cs="仿宋"/>
          <w:sz w:val="28"/>
          <w:szCs w:val="28"/>
          <w:bdr w:val="none" w:color="auto" w:sz="0" w:space="0"/>
        </w:rPr>
        <w:t>号）和《民政部关于进一步扩大养老服务供给促进养老服务消费的实施意见》（民发〔</w:t>
      </w:r>
      <w:r>
        <w:rPr>
          <w:rFonts w:hint="default" w:ascii="Times New Roman" w:hAnsi="Times New Roman" w:eastAsia="仿宋" w:cs="Times New Roman"/>
          <w:sz w:val="28"/>
          <w:szCs w:val="28"/>
          <w:bdr w:val="none" w:color="auto" w:sz="0" w:space="0"/>
        </w:rPr>
        <w:t>2019</w:t>
      </w: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88</w:t>
      </w:r>
      <w:r>
        <w:rPr>
          <w:rFonts w:hint="eastAsia" w:ascii="仿宋" w:hAnsi="仿宋" w:eastAsia="仿宋" w:cs="仿宋"/>
          <w:sz w:val="28"/>
          <w:szCs w:val="28"/>
          <w:bdr w:val="none" w:color="auto" w:sz="0" w:space="0"/>
        </w:rPr>
        <w:t>号）关于“加强社区养老服务设施建设”相关要求，指导、督促和检查各街道（乡镇）养老服务设施供给保障，确保新、旧小区养老服务设施用于嵌入式机构。</w:t>
      </w:r>
      <w:r>
        <w:rPr>
          <w:rFonts w:hint="eastAsia" w:ascii="仿宋" w:hAnsi="仿宋" w:eastAsia="仿宋" w:cs="仿宋"/>
          <w:sz w:val="28"/>
          <w:szCs w:val="28"/>
          <w:bdr w:val="none" w:color="auto" w:sz="0" w:space="0"/>
          <w:shd w:val="clear" w:fill="FFFFFF"/>
        </w:rPr>
        <w:t>加强常态化督查，确保新建居住区与配套养老服务设施同步规划、同步建设、同步验收、同步交付。在城镇老旧小区改造中，统筹推进配套养老服务设施建设，通过补建、购置、置换、租赁、改造等方式，因地制宜补齐社区养老服务设施短板。</w:t>
      </w:r>
      <w:r>
        <w:rPr>
          <w:rFonts w:hint="eastAsia" w:ascii="仿宋" w:hAnsi="仿宋" w:eastAsia="仿宋" w:cs="仿宋"/>
          <w:sz w:val="28"/>
          <w:szCs w:val="28"/>
          <w:bdr w:val="none" w:color="auto" w:sz="0" w:space="0"/>
        </w:rPr>
        <w:t>加强闲置资源的区级统筹利用，支持街道（乡镇）将政府和事业单位的空置房屋等存量资源无偿或低偿交由社会力量建设和运营嵌入式机构。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4. </w:t>
      </w:r>
      <w:r>
        <w:rPr>
          <w:rFonts w:hint="eastAsia" w:ascii="楷体" w:hAnsi="楷体" w:eastAsia="楷体" w:cs="楷体"/>
          <w:sz w:val="28"/>
          <w:szCs w:val="28"/>
          <w:bdr w:val="none" w:color="auto" w:sz="0" w:space="0"/>
        </w:rPr>
        <w:t>拓宽建设渠道</w:t>
      </w:r>
      <w:r>
        <w:rPr>
          <w:rFonts w:hint="eastAsia" w:ascii="仿宋" w:hAnsi="仿宋" w:eastAsia="仿宋" w:cs="仿宋"/>
          <w:sz w:val="28"/>
          <w:szCs w:val="28"/>
          <w:bdr w:val="none" w:color="auto" w:sz="0" w:space="0"/>
        </w:rPr>
        <w:t>。按照“社会力量新建一批、闲置资源改建一批、小区配套配建一批、养老机构（照料中心）转型一批”的思路，分类推进嵌入式机构建设。对于区域型嵌入机构，鼓励社会力量新建或利用闲置资源改建、小区配套配建；对于街道（乡镇）辖区内无设施资源可用的，可由养老机构（照料中心）转型，采取“一事一议”方式，经区民政局书面同意，必要时报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30" w:right="0" w:firstLine="0"/>
        <w:jc w:val="both"/>
        <w:rPr>
          <w:sz w:val="28"/>
          <w:szCs w:val="28"/>
        </w:rPr>
      </w:pPr>
      <w:r>
        <w:rPr>
          <w:rFonts w:hint="eastAsia" w:ascii="黑体" w:hAnsi="宋体" w:eastAsia="黑体" w:cs="黑体"/>
          <w:sz w:val="28"/>
          <w:szCs w:val="28"/>
          <w:bdr w:val="none" w:color="auto" w:sz="0" w:space="0"/>
        </w:rPr>
        <w:t>二、提升管理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5. </w:t>
      </w:r>
      <w:r>
        <w:rPr>
          <w:rFonts w:hint="eastAsia" w:ascii="楷体" w:hAnsi="楷体" w:eastAsia="楷体" w:cs="楷体"/>
          <w:sz w:val="28"/>
          <w:szCs w:val="28"/>
          <w:bdr w:val="none" w:color="auto" w:sz="0" w:space="0"/>
        </w:rPr>
        <w:t>完善基本设置。</w:t>
      </w:r>
      <w:r>
        <w:rPr>
          <w:rFonts w:hint="eastAsia" w:ascii="仿宋" w:hAnsi="仿宋" w:eastAsia="仿宋" w:cs="仿宋"/>
          <w:sz w:val="28"/>
          <w:szCs w:val="28"/>
          <w:bdr w:val="none" w:color="auto" w:sz="0" w:space="0"/>
        </w:rPr>
        <w:t>嵌入式机构应具备独立法人资质或由具有独立法人资质的专业团队连锁运营。嵌入式机构原则上坚持独体模式（同一建筑、单独对外出入口，或同一地址、独门独院，且与其它非养老服务场所无共用面积）；确因面积不够的，可采取组团模式（组团点位不能多于</w:t>
      </w:r>
      <w:r>
        <w:rPr>
          <w:rFonts w:hint="default" w:ascii="Times New Roman" w:hAnsi="Times New Roman" w:eastAsia="仿宋" w:cs="Times New Roman"/>
          <w:sz w:val="28"/>
          <w:szCs w:val="28"/>
          <w:bdr w:val="none" w:color="auto" w:sz="0" w:space="0"/>
        </w:rPr>
        <w:t>2</w:t>
      </w:r>
      <w:r>
        <w:rPr>
          <w:rFonts w:hint="eastAsia" w:ascii="仿宋" w:hAnsi="仿宋" w:eastAsia="仿宋" w:cs="仿宋"/>
          <w:sz w:val="28"/>
          <w:szCs w:val="28"/>
          <w:bdr w:val="none" w:color="auto" w:sz="0" w:space="0"/>
        </w:rPr>
        <w:t>处，且组团点位之间直线距离不得大于</w:t>
      </w:r>
      <w:r>
        <w:rPr>
          <w:rFonts w:hint="default" w:ascii="Times New Roman" w:hAnsi="Times New Roman" w:cs="Times New Roman"/>
          <w:sz w:val="28"/>
          <w:szCs w:val="28"/>
          <w:bdr w:val="none" w:color="auto" w:sz="0" w:space="0"/>
        </w:rPr>
        <w:t>5</w:t>
      </w:r>
      <w:r>
        <w:rPr>
          <w:rFonts w:hint="default" w:ascii="Times New Roman" w:hAnsi="Times New Roman" w:eastAsia="仿宋" w:cs="Times New Roman"/>
          <w:sz w:val="28"/>
          <w:szCs w:val="28"/>
          <w:bdr w:val="none" w:color="auto" w:sz="0" w:space="0"/>
        </w:rPr>
        <w:t>00</w:t>
      </w:r>
      <w:r>
        <w:rPr>
          <w:rFonts w:hint="eastAsia" w:ascii="仿宋" w:hAnsi="仿宋" w:eastAsia="仿宋" w:cs="仿宋"/>
          <w:sz w:val="28"/>
          <w:szCs w:val="28"/>
          <w:bdr w:val="none" w:color="auto" w:sz="0" w:space="0"/>
        </w:rPr>
        <w:t>米）。嵌入式机构应为低层建筑或设置于高层建筑物底层，二层以上应设有电梯，且不得设置在地下室。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6. </w:t>
      </w:r>
      <w:r>
        <w:rPr>
          <w:rFonts w:hint="eastAsia" w:ascii="楷体" w:hAnsi="楷体" w:eastAsia="楷体" w:cs="楷体"/>
          <w:sz w:val="28"/>
          <w:szCs w:val="28"/>
          <w:bdr w:val="none" w:color="auto" w:sz="0" w:space="0"/>
        </w:rPr>
        <w:t>严格安全规范。</w:t>
      </w:r>
      <w:r>
        <w:rPr>
          <w:rFonts w:hint="eastAsia" w:ascii="仿宋" w:hAnsi="仿宋" w:eastAsia="仿宋" w:cs="仿宋"/>
          <w:sz w:val="28"/>
          <w:szCs w:val="28"/>
          <w:bdr w:val="none" w:color="auto" w:sz="0" w:space="0"/>
        </w:rPr>
        <w:t>嵌入式机构应符合《中华人民共和国消防法》《无障碍环境建设条例》《天津市消防条例》《老年人照料设施建筑设计标准》《建筑设计防火规范》等法律法规和标准规范的规定。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7. </w:t>
      </w:r>
      <w:r>
        <w:rPr>
          <w:rFonts w:hint="eastAsia" w:ascii="楷体" w:hAnsi="楷体" w:eastAsia="楷体" w:cs="楷体"/>
          <w:sz w:val="28"/>
          <w:szCs w:val="28"/>
          <w:bdr w:val="none" w:color="auto" w:sz="0" w:space="0"/>
        </w:rPr>
        <w:t>实行消防审验（备案）。</w:t>
      </w:r>
      <w:r>
        <w:rPr>
          <w:rFonts w:hint="eastAsia" w:ascii="仿宋" w:hAnsi="仿宋" w:eastAsia="仿宋" w:cs="仿宋"/>
          <w:sz w:val="28"/>
          <w:szCs w:val="28"/>
          <w:bdr w:val="none" w:color="auto" w:sz="0" w:space="0"/>
        </w:rPr>
        <w:t>满足一定规模的嵌入式机构应当按照《建设工程消防设计审查验收管理暂行规定》（住房和城乡建设部</w:t>
      </w:r>
      <w:r>
        <w:rPr>
          <w:rFonts w:hint="default" w:ascii="Times New Roman" w:hAnsi="Times New Roman" w:cs="Times New Roman"/>
          <w:sz w:val="28"/>
          <w:szCs w:val="28"/>
          <w:bdr w:val="none" w:color="auto" w:sz="0" w:space="0"/>
        </w:rPr>
        <w:t>51</w:t>
      </w:r>
      <w:r>
        <w:rPr>
          <w:rFonts w:hint="eastAsia" w:ascii="仿宋" w:hAnsi="仿宋" w:eastAsia="仿宋" w:cs="仿宋"/>
          <w:sz w:val="28"/>
          <w:szCs w:val="28"/>
          <w:bdr w:val="none" w:color="auto" w:sz="0" w:space="0"/>
        </w:rPr>
        <w:t>号令）等有关要求，依法申请建设工程消防设计审查验收、备案。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8. </w:t>
      </w:r>
      <w:r>
        <w:rPr>
          <w:rFonts w:hint="eastAsia" w:ascii="楷体" w:hAnsi="楷体" w:eastAsia="楷体" w:cs="楷体"/>
          <w:sz w:val="28"/>
          <w:szCs w:val="28"/>
          <w:bdr w:val="none" w:color="auto" w:sz="0" w:space="0"/>
        </w:rPr>
        <w:t>加强消防配套。</w:t>
      </w:r>
      <w:r>
        <w:rPr>
          <w:rFonts w:hint="eastAsia" w:ascii="仿宋" w:hAnsi="仿宋" w:eastAsia="仿宋" w:cs="仿宋"/>
          <w:sz w:val="28"/>
          <w:szCs w:val="28"/>
          <w:bdr w:val="none" w:color="auto" w:sz="0" w:space="0"/>
        </w:rPr>
        <w:t>嵌入式机构对因总建筑面积较小或受条件限制难以设置自动消防系统的建筑，加强物防、技防措施，在服务对象住宿、主要活动场所和康复医疗用房安装独立式感烟火灾探测报警器和局部应用自动喷水灭火系统，配备应急照明设备和灭火器。依法对嵌入式机构实施消防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9. </w:t>
      </w:r>
      <w:r>
        <w:rPr>
          <w:rFonts w:hint="eastAsia" w:ascii="楷体" w:hAnsi="楷体" w:eastAsia="楷体" w:cs="楷体"/>
          <w:sz w:val="28"/>
          <w:szCs w:val="28"/>
          <w:bdr w:val="none" w:color="auto" w:sz="0" w:space="0"/>
        </w:rPr>
        <w:t>统一名称标识。</w:t>
      </w:r>
      <w:r>
        <w:rPr>
          <w:rFonts w:hint="eastAsia" w:ascii="仿宋" w:hAnsi="仿宋" w:eastAsia="仿宋" w:cs="仿宋"/>
          <w:sz w:val="28"/>
          <w:szCs w:val="28"/>
          <w:bdr w:val="none" w:color="auto" w:sz="0" w:space="0"/>
        </w:rPr>
        <w:t>区域型嵌入式机构应包含“街道（乡镇）名称</w:t>
      </w:r>
      <w:r>
        <w:rPr>
          <w:rFonts w:hint="default" w:ascii="Times New Roman" w:hAnsi="Times New Roman" w:cs="Times New Roman"/>
          <w:sz w:val="28"/>
          <w:szCs w:val="28"/>
          <w:bdr w:val="none" w:color="auto" w:sz="0" w:space="0"/>
        </w:rPr>
        <w:t>+</w:t>
      </w:r>
      <w:r>
        <w:rPr>
          <w:rFonts w:hint="eastAsia" w:ascii="仿宋" w:hAnsi="仿宋" w:eastAsia="仿宋" w:cs="仿宋"/>
          <w:sz w:val="28"/>
          <w:szCs w:val="28"/>
          <w:bdr w:val="none" w:color="auto" w:sz="0" w:space="0"/>
        </w:rPr>
        <w:t>综合养老服务中心”，社区型嵌入式机构应包含“社区（村）名称</w:t>
      </w:r>
      <w:r>
        <w:rPr>
          <w:rFonts w:hint="default" w:ascii="Times New Roman" w:hAnsi="Times New Roman" w:cs="Times New Roman"/>
          <w:sz w:val="28"/>
          <w:szCs w:val="28"/>
          <w:bdr w:val="none" w:color="auto" w:sz="0" w:space="0"/>
        </w:rPr>
        <w:t>+</w:t>
      </w:r>
      <w:r>
        <w:rPr>
          <w:rFonts w:hint="eastAsia" w:ascii="仿宋" w:hAnsi="仿宋" w:eastAsia="仿宋" w:cs="仿宋"/>
          <w:sz w:val="28"/>
          <w:szCs w:val="28"/>
          <w:bdr w:val="none" w:color="auto" w:sz="0" w:space="0"/>
        </w:rPr>
        <w:t>居家养老服务中心”。相关标识由市民政局设计，区民政局指导运营方制作。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10. </w:t>
      </w:r>
      <w:r>
        <w:rPr>
          <w:rFonts w:hint="eastAsia" w:ascii="楷体" w:hAnsi="楷体" w:eastAsia="楷体" w:cs="楷体"/>
          <w:sz w:val="28"/>
          <w:szCs w:val="28"/>
          <w:bdr w:val="none" w:color="auto" w:sz="0" w:space="0"/>
        </w:rPr>
        <w:t>强化属地管理。</w:t>
      </w:r>
      <w:r>
        <w:rPr>
          <w:rFonts w:hint="eastAsia" w:ascii="仿宋" w:hAnsi="仿宋" w:eastAsia="仿宋" w:cs="仿宋"/>
          <w:sz w:val="28"/>
          <w:szCs w:val="28"/>
          <w:bdr w:val="none" w:color="auto" w:sz="0" w:space="0"/>
        </w:rPr>
        <w:t>街道（乡镇）和居（村）负责嵌入式机构正常运营、消防安全、食品安全、疫情防控等日常管理和监督工作。区民政局负责辖区内嵌入式机构的监督检查、评估评比、服务支持等业务指导工作。鼓励区民政局、街道（乡镇）对信誉良好、服务优质的举办主体和运营主体放宽投标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eastAsia" w:ascii="黑体" w:hAnsi="宋体" w:eastAsia="黑体" w:cs="黑体"/>
          <w:sz w:val="28"/>
          <w:szCs w:val="28"/>
          <w:bdr w:val="none" w:color="auto" w:sz="0" w:space="0"/>
        </w:rPr>
        <w:t>三、强化扶持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楷体" w:hAnsi="楷体" w:eastAsia="楷体" w:cs="楷体"/>
          <w:sz w:val="28"/>
          <w:szCs w:val="28"/>
          <w:bdr w:val="none" w:color="auto" w:sz="0" w:space="0"/>
        </w:rPr>
        <w:t>11. 一次性建设补贴支持。</w:t>
      </w:r>
      <w:r>
        <w:rPr>
          <w:rFonts w:hint="eastAsia" w:ascii="仿宋" w:hAnsi="仿宋" w:eastAsia="仿宋" w:cs="仿宋"/>
          <w:sz w:val="28"/>
          <w:szCs w:val="28"/>
          <w:bdr w:val="none" w:color="auto" w:sz="0" w:space="0"/>
        </w:rPr>
        <w:t>由社会力量新建、闲置资源改建、小区配套配建的区域型嵌入式机构，经备案的，按照独体模式的整体或组团模式的主体部分建筑面积给予</w:t>
      </w:r>
      <w:r>
        <w:rPr>
          <w:rFonts w:hint="default" w:ascii="Times New Roman" w:hAnsi="Times New Roman" w:eastAsia="仿宋" w:cs="Times New Roman"/>
          <w:sz w:val="28"/>
          <w:szCs w:val="28"/>
          <w:bdr w:val="none" w:color="auto" w:sz="0" w:space="0"/>
        </w:rPr>
        <w:t>50</w:t>
      </w:r>
      <w:r>
        <w:rPr>
          <w:rFonts w:hint="eastAsia" w:ascii="仿宋" w:hAnsi="仿宋" w:eastAsia="仿宋" w:cs="仿宋"/>
          <w:sz w:val="28"/>
          <w:szCs w:val="28"/>
          <w:bdr w:val="none" w:color="auto" w:sz="0" w:space="0"/>
        </w:rPr>
        <w:t>万至</w:t>
      </w:r>
      <w:r>
        <w:rPr>
          <w:rFonts w:hint="default" w:ascii="Times New Roman" w:hAnsi="Times New Roman" w:eastAsia="仿宋" w:cs="Times New Roman"/>
          <w:sz w:val="28"/>
          <w:szCs w:val="28"/>
          <w:bdr w:val="none" w:color="auto" w:sz="0" w:space="0"/>
        </w:rPr>
        <w:t>80</w:t>
      </w:r>
      <w:r>
        <w:rPr>
          <w:rFonts w:hint="eastAsia" w:ascii="仿宋" w:hAnsi="仿宋" w:eastAsia="仿宋" w:cs="仿宋"/>
          <w:sz w:val="28"/>
          <w:szCs w:val="28"/>
          <w:bdr w:val="none" w:color="auto" w:sz="0" w:space="0"/>
        </w:rPr>
        <w:t>万元梯度建设补贴，即：面积达到</w:t>
      </w:r>
      <w:r>
        <w:rPr>
          <w:rFonts w:hint="default" w:ascii="Times New Roman" w:hAnsi="Times New Roman" w:eastAsia="仿宋" w:cs="Times New Roman"/>
          <w:sz w:val="28"/>
          <w:szCs w:val="28"/>
          <w:bdr w:val="none" w:color="auto" w:sz="0" w:space="0"/>
        </w:rPr>
        <w:t>1000</w:t>
      </w:r>
      <w:r>
        <w:rPr>
          <w:rFonts w:hint="eastAsia" w:ascii="仿宋" w:hAnsi="仿宋" w:eastAsia="仿宋" w:cs="仿宋"/>
          <w:sz w:val="28"/>
          <w:szCs w:val="28"/>
          <w:bdr w:val="none" w:color="auto" w:sz="0" w:space="0"/>
        </w:rPr>
        <w:t>平方米（含）以上的，每个补贴</w:t>
      </w:r>
      <w:r>
        <w:rPr>
          <w:rFonts w:hint="default" w:ascii="Times New Roman" w:hAnsi="Times New Roman" w:eastAsia="仿宋" w:cs="Times New Roman"/>
          <w:sz w:val="28"/>
          <w:szCs w:val="28"/>
          <w:bdr w:val="none" w:color="auto" w:sz="0" w:space="0"/>
        </w:rPr>
        <w:t>80</w:t>
      </w:r>
      <w:r>
        <w:rPr>
          <w:rFonts w:hint="eastAsia" w:ascii="仿宋" w:hAnsi="仿宋" w:eastAsia="仿宋" w:cs="仿宋"/>
          <w:sz w:val="28"/>
          <w:szCs w:val="28"/>
          <w:bdr w:val="none" w:color="auto" w:sz="0" w:space="0"/>
        </w:rPr>
        <w:t>万元；面积在</w:t>
      </w:r>
      <w:r>
        <w:rPr>
          <w:rFonts w:hint="default" w:ascii="Times New Roman" w:hAnsi="Times New Roman" w:eastAsia="仿宋" w:cs="Times New Roman"/>
          <w:sz w:val="28"/>
          <w:szCs w:val="28"/>
          <w:bdr w:val="none" w:color="auto" w:sz="0" w:space="0"/>
        </w:rPr>
        <w:t>750</w:t>
      </w:r>
      <w:r>
        <w:rPr>
          <w:rFonts w:hint="eastAsia" w:ascii="仿宋" w:hAnsi="仿宋" w:eastAsia="仿宋" w:cs="仿宋"/>
          <w:sz w:val="28"/>
          <w:szCs w:val="28"/>
          <w:bdr w:val="none" w:color="auto" w:sz="0" w:space="0"/>
        </w:rPr>
        <w:t>至</w:t>
      </w:r>
      <w:r>
        <w:rPr>
          <w:rFonts w:hint="default" w:ascii="Times New Roman" w:hAnsi="Times New Roman" w:eastAsia="仿宋" w:cs="Times New Roman"/>
          <w:sz w:val="28"/>
          <w:szCs w:val="28"/>
          <w:bdr w:val="none" w:color="auto" w:sz="0" w:space="0"/>
        </w:rPr>
        <w:t>1000</w:t>
      </w:r>
      <w:r>
        <w:rPr>
          <w:rFonts w:hint="eastAsia" w:ascii="仿宋" w:hAnsi="仿宋" w:eastAsia="仿宋" w:cs="仿宋"/>
          <w:sz w:val="28"/>
          <w:szCs w:val="28"/>
          <w:bdr w:val="none" w:color="auto" w:sz="0" w:space="0"/>
        </w:rPr>
        <w:t>平方米之间的，每个补贴</w:t>
      </w:r>
      <w:r>
        <w:rPr>
          <w:rFonts w:hint="default" w:ascii="Times New Roman" w:hAnsi="Times New Roman" w:eastAsia="仿宋" w:cs="Times New Roman"/>
          <w:sz w:val="28"/>
          <w:szCs w:val="28"/>
          <w:bdr w:val="none" w:color="auto" w:sz="0" w:space="0"/>
        </w:rPr>
        <w:t>65</w:t>
      </w:r>
      <w:r>
        <w:rPr>
          <w:rFonts w:hint="eastAsia" w:ascii="仿宋" w:hAnsi="仿宋" w:eastAsia="仿宋" w:cs="仿宋"/>
          <w:sz w:val="28"/>
          <w:szCs w:val="28"/>
          <w:bdr w:val="none" w:color="auto" w:sz="0" w:space="0"/>
        </w:rPr>
        <w:t>万元；面积在</w:t>
      </w:r>
      <w:r>
        <w:rPr>
          <w:rFonts w:hint="default" w:ascii="Times New Roman" w:hAnsi="Times New Roman" w:eastAsia="仿宋" w:cs="Times New Roman"/>
          <w:sz w:val="28"/>
          <w:szCs w:val="28"/>
          <w:bdr w:val="none" w:color="auto" w:sz="0" w:space="0"/>
        </w:rPr>
        <w:t>500</w:t>
      </w:r>
      <w:r>
        <w:rPr>
          <w:rFonts w:hint="eastAsia" w:ascii="仿宋" w:hAnsi="仿宋" w:eastAsia="仿宋" w:cs="仿宋"/>
          <w:sz w:val="28"/>
          <w:szCs w:val="28"/>
          <w:bdr w:val="none" w:color="auto" w:sz="0" w:space="0"/>
        </w:rPr>
        <w:t>至</w:t>
      </w:r>
      <w:r>
        <w:rPr>
          <w:rFonts w:hint="default" w:ascii="Times New Roman" w:hAnsi="Times New Roman" w:eastAsia="仿宋" w:cs="Times New Roman"/>
          <w:sz w:val="28"/>
          <w:szCs w:val="28"/>
          <w:bdr w:val="none" w:color="auto" w:sz="0" w:space="0"/>
        </w:rPr>
        <w:t>750</w:t>
      </w:r>
      <w:r>
        <w:rPr>
          <w:rFonts w:hint="eastAsia" w:ascii="仿宋" w:hAnsi="仿宋" w:eastAsia="仿宋" w:cs="仿宋"/>
          <w:sz w:val="28"/>
          <w:szCs w:val="28"/>
          <w:bdr w:val="none" w:color="auto" w:sz="0" w:space="0"/>
        </w:rPr>
        <w:t>平方米（含）之间的，每个䃼贴</w:t>
      </w:r>
      <w:r>
        <w:rPr>
          <w:rFonts w:hint="default" w:ascii="Times New Roman" w:hAnsi="Times New Roman" w:eastAsia="仿宋" w:cs="Times New Roman"/>
          <w:sz w:val="28"/>
          <w:szCs w:val="28"/>
          <w:bdr w:val="none" w:color="auto" w:sz="0" w:space="0"/>
        </w:rPr>
        <w:t>50</w:t>
      </w:r>
      <w:r>
        <w:rPr>
          <w:rFonts w:hint="eastAsia" w:ascii="仿宋" w:hAnsi="仿宋" w:eastAsia="仿宋" w:cs="仿宋"/>
          <w:sz w:val="28"/>
          <w:szCs w:val="28"/>
          <w:bdr w:val="none" w:color="auto" w:sz="0" w:space="0"/>
        </w:rPr>
        <w:t>万元。由养老机构转型的区域型嵌入式机构，给予差异转型补贴，即：由养老机构全部转型为区域型嵌入式机构的，给予</w:t>
      </w:r>
      <w:r>
        <w:rPr>
          <w:rFonts w:hint="default" w:ascii="Times New Roman" w:hAnsi="Times New Roman" w:eastAsia="仿宋" w:cs="Times New Roman"/>
          <w:sz w:val="28"/>
          <w:szCs w:val="28"/>
          <w:bdr w:val="none" w:color="auto" w:sz="0" w:space="0"/>
        </w:rPr>
        <w:t>10</w:t>
      </w:r>
      <w:r>
        <w:rPr>
          <w:rFonts w:hint="eastAsia" w:ascii="仿宋" w:hAnsi="仿宋" w:eastAsia="仿宋" w:cs="仿宋"/>
          <w:sz w:val="28"/>
          <w:szCs w:val="28"/>
          <w:bdr w:val="none" w:color="auto" w:sz="0" w:space="0"/>
        </w:rPr>
        <w:t>万元装修补贴；由养老机构拿出部分面积转型的，不予补贴。由照料中心转型的区域型嵌入式机构，扩建面积超过</w:t>
      </w:r>
      <w:r>
        <w:rPr>
          <w:rFonts w:hint="default" w:ascii="Times New Roman" w:hAnsi="Times New Roman" w:eastAsia="仿宋" w:cs="Times New Roman"/>
          <w:sz w:val="28"/>
          <w:szCs w:val="28"/>
          <w:bdr w:val="none" w:color="auto" w:sz="0" w:space="0"/>
        </w:rPr>
        <w:t>200</w:t>
      </w:r>
      <w:r>
        <w:rPr>
          <w:rFonts w:hint="eastAsia" w:ascii="仿宋" w:hAnsi="仿宋" w:eastAsia="仿宋" w:cs="仿宋"/>
          <w:sz w:val="28"/>
          <w:szCs w:val="28"/>
          <w:bdr w:val="none" w:color="auto" w:sz="0" w:space="0"/>
        </w:rPr>
        <w:t>平方米以上并经备案的，按照扩建面积每百平方米</w:t>
      </w:r>
      <w:r>
        <w:rPr>
          <w:rFonts w:hint="default" w:ascii="Times New Roman" w:hAnsi="Times New Roman" w:eastAsia="仿宋" w:cs="Times New Roman"/>
          <w:sz w:val="28"/>
          <w:szCs w:val="28"/>
          <w:bdr w:val="none" w:color="auto" w:sz="0" w:space="0"/>
        </w:rPr>
        <w:t>10</w:t>
      </w:r>
      <w:r>
        <w:rPr>
          <w:rFonts w:hint="eastAsia" w:ascii="仿宋" w:hAnsi="仿宋" w:eastAsia="仿宋" w:cs="仿宋"/>
          <w:sz w:val="28"/>
          <w:szCs w:val="28"/>
          <w:bdr w:val="none" w:color="auto" w:sz="0" w:space="0"/>
        </w:rPr>
        <w:t>万元给予差异转型补贴，即：扩建后总面积</w:t>
      </w:r>
      <w:r>
        <w:rPr>
          <w:rFonts w:hint="default" w:ascii="Times New Roman" w:hAnsi="Times New Roman" w:eastAsia="仿宋" w:cs="Times New Roman"/>
          <w:sz w:val="28"/>
          <w:szCs w:val="28"/>
          <w:bdr w:val="none" w:color="auto" w:sz="0" w:space="0"/>
        </w:rPr>
        <w:t>750</w:t>
      </w:r>
      <w:r>
        <w:rPr>
          <w:rFonts w:hint="eastAsia" w:ascii="仿宋" w:hAnsi="仿宋" w:eastAsia="仿宋" w:cs="仿宋"/>
          <w:sz w:val="28"/>
          <w:szCs w:val="28"/>
          <w:bdr w:val="none" w:color="auto" w:sz="0" w:space="0"/>
        </w:rPr>
        <w:t>平方米（含）以下的，补贴最高不超过</w:t>
      </w:r>
      <w:r>
        <w:rPr>
          <w:rFonts w:hint="default" w:ascii="Times New Roman" w:hAnsi="Times New Roman" w:eastAsia="仿宋" w:cs="Times New Roman"/>
          <w:sz w:val="28"/>
          <w:szCs w:val="28"/>
          <w:bdr w:val="none" w:color="auto" w:sz="0" w:space="0"/>
        </w:rPr>
        <w:t>20</w:t>
      </w:r>
      <w:r>
        <w:rPr>
          <w:rFonts w:hint="eastAsia" w:ascii="仿宋" w:hAnsi="仿宋" w:eastAsia="仿宋" w:cs="仿宋"/>
          <w:sz w:val="28"/>
          <w:szCs w:val="28"/>
          <w:bdr w:val="none" w:color="auto" w:sz="0" w:space="0"/>
        </w:rPr>
        <w:t>万元；扩建后总面积在</w:t>
      </w:r>
      <w:r>
        <w:rPr>
          <w:rFonts w:hint="default" w:ascii="Times New Roman" w:hAnsi="Times New Roman" w:eastAsia="仿宋" w:cs="Times New Roman"/>
          <w:sz w:val="28"/>
          <w:szCs w:val="28"/>
          <w:bdr w:val="none" w:color="auto" w:sz="0" w:space="0"/>
        </w:rPr>
        <w:t>750</w:t>
      </w:r>
      <w:r>
        <w:rPr>
          <w:rFonts w:hint="eastAsia" w:ascii="仿宋" w:hAnsi="仿宋" w:eastAsia="仿宋" w:cs="仿宋"/>
          <w:sz w:val="28"/>
          <w:szCs w:val="28"/>
          <w:bdr w:val="none" w:color="auto" w:sz="0" w:space="0"/>
        </w:rPr>
        <w:t>至</w:t>
      </w:r>
      <w:r>
        <w:rPr>
          <w:rFonts w:hint="default" w:ascii="Times New Roman" w:hAnsi="Times New Roman" w:eastAsia="仿宋" w:cs="Times New Roman"/>
          <w:sz w:val="28"/>
          <w:szCs w:val="28"/>
          <w:bdr w:val="none" w:color="auto" w:sz="0" w:space="0"/>
        </w:rPr>
        <w:t>1000</w:t>
      </w:r>
      <w:r>
        <w:rPr>
          <w:rFonts w:hint="eastAsia" w:ascii="仿宋" w:hAnsi="仿宋" w:eastAsia="仿宋" w:cs="仿宋"/>
          <w:sz w:val="28"/>
          <w:szCs w:val="28"/>
          <w:bdr w:val="none" w:color="auto" w:sz="0" w:space="0"/>
        </w:rPr>
        <w:t>平方米之间的，补贴最高不超过</w:t>
      </w:r>
      <w:r>
        <w:rPr>
          <w:rFonts w:hint="default" w:ascii="Times New Roman" w:hAnsi="Times New Roman" w:eastAsia="仿宋" w:cs="Times New Roman"/>
          <w:sz w:val="28"/>
          <w:szCs w:val="28"/>
          <w:bdr w:val="none" w:color="auto" w:sz="0" w:space="0"/>
        </w:rPr>
        <w:t>35</w:t>
      </w:r>
      <w:r>
        <w:rPr>
          <w:rFonts w:hint="eastAsia" w:ascii="仿宋" w:hAnsi="仿宋" w:eastAsia="仿宋" w:cs="仿宋"/>
          <w:sz w:val="28"/>
          <w:szCs w:val="28"/>
          <w:bdr w:val="none" w:color="auto" w:sz="0" w:space="0"/>
        </w:rPr>
        <w:t>万元；扩建后总面积达到</w:t>
      </w:r>
      <w:r>
        <w:rPr>
          <w:rFonts w:hint="default" w:ascii="Times New Roman" w:hAnsi="Times New Roman" w:eastAsia="仿宋" w:cs="Times New Roman"/>
          <w:sz w:val="28"/>
          <w:szCs w:val="28"/>
          <w:bdr w:val="none" w:color="auto" w:sz="0" w:space="0"/>
        </w:rPr>
        <w:t>1000</w:t>
      </w:r>
      <w:r>
        <w:rPr>
          <w:rFonts w:hint="eastAsia" w:ascii="仿宋" w:hAnsi="仿宋" w:eastAsia="仿宋" w:cs="仿宋"/>
          <w:sz w:val="28"/>
          <w:szCs w:val="28"/>
          <w:bdr w:val="none" w:color="auto" w:sz="0" w:space="0"/>
        </w:rPr>
        <w:t>平方米（含）以上的，补贴最高不超过</w:t>
      </w:r>
      <w:r>
        <w:rPr>
          <w:rFonts w:hint="default" w:ascii="Times New Roman" w:hAnsi="Times New Roman" w:eastAsia="仿宋" w:cs="Times New Roman"/>
          <w:sz w:val="28"/>
          <w:szCs w:val="28"/>
          <w:bdr w:val="none" w:color="auto" w:sz="0" w:space="0"/>
        </w:rPr>
        <w:t>50</w:t>
      </w:r>
      <w:r>
        <w:rPr>
          <w:rFonts w:hint="eastAsia" w:ascii="仿宋" w:hAnsi="仿宋" w:eastAsia="仿宋" w:cs="仿宋"/>
          <w:sz w:val="28"/>
          <w:szCs w:val="28"/>
          <w:bdr w:val="none" w:color="auto" w:sz="0" w:space="0"/>
        </w:rPr>
        <w:t>万元。因各种原因调整点位或更换建设主体的，根据实际情况给予补贴，但每个街道（乡镇）建设补贴累计不超过</w:t>
      </w:r>
      <w:r>
        <w:rPr>
          <w:rFonts w:hint="default" w:ascii="Times New Roman" w:hAnsi="Times New Roman" w:eastAsia="仿宋" w:cs="Times New Roman"/>
          <w:sz w:val="28"/>
          <w:szCs w:val="28"/>
          <w:bdr w:val="none" w:color="auto" w:sz="0" w:space="0"/>
        </w:rPr>
        <w:t>80</w:t>
      </w:r>
      <w:r>
        <w:rPr>
          <w:rFonts w:hint="eastAsia" w:ascii="仿宋" w:hAnsi="仿宋" w:eastAsia="仿宋" w:cs="仿宋"/>
          <w:sz w:val="28"/>
          <w:szCs w:val="28"/>
          <w:bdr w:val="none" w:color="auto" w:sz="0" w:space="0"/>
        </w:rPr>
        <w:t>万元。新增区域型嵌入式机构建成后，经评估合格的，拨付</w:t>
      </w:r>
      <w:r>
        <w:rPr>
          <w:rFonts w:hint="default" w:ascii="Times New Roman" w:hAnsi="Times New Roman" w:eastAsia="仿宋" w:cs="Times New Roman"/>
          <w:sz w:val="28"/>
          <w:szCs w:val="28"/>
          <w:bdr w:val="none" w:color="auto" w:sz="0" w:space="0"/>
        </w:rPr>
        <w:t>50%</w:t>
      </w:r>
      <w:r>
        <w:rPr>
          <w:rFonts w:hint="eastAsia" w:ascii="仿宋" w:hAnsi="仿宋" w:eastAsia="仿宋" w:cs="仿宋"/>
          <w:sz w:val="28"/>
          <w:szCs w:val="28"/>
          <w:bdr w:val="none" w:color="auto" w:sz="0" w:space="0"/>
        </w:rPr>
        <w:t>建设补贴；运营</w:t>
      </w:r>
      <w:r>
        <w:rPr>
          <w:rFonts w:hint="default" w:ascii="Times New Roman" w:hAnsi="Times New Roman" w:eastAsia="仿宋" w:cs="Times New Roman"/>
          <w:sz w:val="28"/>
          <w:szCs w:val="28"/>
          <w:bdr w:val="none" w:color="auto" w:sz="0" w:space="0"/>
        </w:rPr>
        <w:t>1</w:t>
      </w:r>
      <w:r>
        <w:rPr>
          <w:rFonts w:hint="eastAsia" w:ascii="仿宋" w:hAnsi="仿宋" w:eastAsia="仿宋" w:cs="仿宋"/>
          <w:sz w:val="28"/>
          <w:szCs w:val="28"/>
          <w:bdr w:val="none" w:color="auto" w:sz="0" w:space="0"/>
        </w:rPr>
        <w:t>年后，经运营评估合格的，拨付剩余</w:t>
      </w:r>
      <w:r>
        <w:rPr>
          <w:rFonts w:hint="default" w:ascii="Times New Roman" w:hAnsi="Times New Roman" w:eastAsia="仿宋" w:cs="Times New Roman"/>
          <w:sz w:val="28"/>
          <w:szCs w:val="28"/>
          <w:bdr w:val="none" w:color="auto" w:sz="0" w:space="0"/>
        </w:rPr>
        <w:t>50%</w:t>
      </w:r>
      <w:r>
        <w:rPr>
          <w:rFonts w:hint="eastAsia" w:ascii="仿宋" w:hAnsi="仿宋" w:eastAsia="仿宋" w:cs="仿宋"/>
          <w:sz w:val="28"/>
          <w:szCs w:val="28"/>
          <w:bdr w:val="none" w:color="auto" w:sz="0" w:space="0"/>
        </w:rPr>
        <w:t>建设补贴。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12. </w:t>
      </w:r>
      <w:r>
        <w:rPr>
          <w:rFonts w:hint="eastAsia" w:ascii="楷体" w:hAnsi="楷体" w:eastAsia="楷体" w:cs="楷体"/>
          <w:sz w:val="28"/>
          <w:szCs w:val="28"/>
          <w:bdr w:val="none" w:color="auto" w:sz="0" w:space="0"/>
        </w:rPr>
        <w:t>运营补贴支持</w:t>
      </w:r>
      <w:r>
        <w:rPr>
          <w:rFonts w:hint="eastAsia" w:ascii="仿宋" w:hAnsi="仿宋" w:eastAsia="仿宋" w:cs="仿宋"/>
          <w:sz w:val="28"/>
          <w:szCs w:val="28"/>
          <w:bdr w:val="none" w:color="auto" w:sz="0" w:space="0"/>
        </w:rPr>
        <w:t>。经备案并建设评估合格的区域型嵌入式机构，自评估合格后下月起享受照料中心社会化运营补贴，“入托”床位比照现行养老机构运营补贴标准享受床位运营补贴。其中，社会化运营补贴采取“分档补贴”方式，以区为单位总体平衡，评估为“优秀”等级的占区评估合格总数的</w:t>
      </w:r>
      <w:r>
        <w:rPr>
          <w:rFonts w:hint="default" w:ascii="Times New Roman" w:hAnsi="Times New Roman" w:cs="Times New Roman"/>
          <w:sz w:val="28"/>
          <w:szCs w:val="28"/>
          <w:bdr w:val="none" w:color="auto" w:sz="0" w:space="0"/>
        </w:rPr>
        <w:t>3</w:t>
      </w:r>
      <w:r>
        <w:rPr>
          <w:rFonts w:hint="default" w:ascii="Times New Roman" w:hAnsi="Times New Roman" w:eastAsia="仿宋" w:cs="Times New Roman"/>
          <w:sz w:val="28"/>
          <w:szCs w:val="28"/>
          <w:bdr w:val="none" w:color="auto" w:sz="0" w:space="0"/>
        </w:rPr>
        <w:t>0%</w:t>
      </w:r>
      <w:r>
        <w:rPr>
          <w:rFonts w:hint="eastAsia" w:ascii="仿宋" w:hAnsi="仿宋" w:eastAsia="仿宋" w:cs="仿宋"/>
          <w:sz w:val="28"/>
          <w:szCs w:val="28"/>
          <w:bdr w:val="none" w:color="auto" w:sz="0" w:space="0"/>
        </w:rPr>
        <w:t>，补贴为</w:t>
      </w:r>
      <w:r>
        <w:rPr>
          <w:rFonts w:hint="default" w:ascii="Times New Roman" w:hAnsi="Times New Roman" w:eastAsia="仿宋" w:cs="Times New Roman"/>
          <w:sz w:val="28"/>
          <w:szCs w:val="28"/>
          <w:bdr w:val="none" w:color="auto" w:sz="0" w:space="0"/>
        </w:rPr>
        <w:t>12</w:t>
      </w:r>
      <w:r>
        <w:rPr>
          <w:rFonts w:hint="eastAsia" w:ascii="仿宋" w:hAnsi="仿宋" w:eastAsia="仿宋" w:cs="仿宋"/>
          <w:sz w:val="28"/>
          <w:szCs w:val="28"/>
          <w:bdr w:val="none" w:color="auto" w:sz="0" w:space="0"/>
        </w:rPr>
        <w:t>万元；评估为“良好”等级的占区评估合格总数的</w:t>
      </w:r>
      <w:r>
        <w:rPr>
          <w:rFonts w:hint="default" w:ascii="Times New Roman" w:hAnsi="Times New Roman" w:eastAsia="仿宋" w:cs="Times New Roman"/>
          <w:sz w:val="28"/>
          <w:szCs w:val="28"/>
          <w:bdr w:val="none" w:color="auto" w:sz="0" w:space="0"/>
        </w:rPr>
        <w:t>40%</w:t>
      </w:r>
      <w:r>
        <w:rPr>
          <w:rFonts w:hint="eastAsia" w:ascii="仿宋" w:hAnsi="仿宋" w:eastAsia="仿宋" w:cs="仿宋"/>
          <w:sz w:val="28"/>
          <w:szCs w:val="28"/>
          <w:bdr w:val="none" w:color="auto" w:sz="0" w:space="0"/>
        </w:rPr>
        <w:t>，补贴为</w:t>
      </w:r>
      <w:r>
        <w:rPr>
          <w:rFonts w:hint="default" w:ascii="Times New Roman" w:hAnsi="Times New Roman" w:eastAsia="仿宋" w:cs="Times New Roman"/>
          <w:sz w:val="28"/>
          <w:szCs w:val="28"/>
          <w:bdr w:val="none" w:color="auto" w:sz="0" w:space="0"/>
        </w:rPr>
        <w:t>9</w:t>
      </w:r>
      <w:r>
        <w:rPr>
          <w:rFonts w:hint="eastAsia" w:ascii="仿宋" w:hAnsi="仿宋" w:eastAsia="仿宋" w:cs="仿宋"/>
          <w:sz w:val="28"/>
          <w:szCs w:val="28"/>
          <w:bdr w:val="none" w:color="auto" w:sz="0" w:space="0"/>
        </w:rPr>
        <w:t>万元；评估为“一般”等级的占区评估合格总数的</w:t>
      </w:r>
      <w:r>
        <w:rPr>
          <w:rFonts w:hint="default" w:ascii="Times New Roman" w:hAnsi="Times New Roman" w:cs="Times New Roman"/>
          <w:sz w:val="28"/>
          <w:szCs w:val="28"/>
          <w:bdr w:val="none" w:color="auto" w:sz="0" w:space="0"/>
        </w:rPr>
        <w:t>3</w:t>
      </w:r>
      <w:r>
        <w:rPr>
          <w:rFonts w:hint="default" w:ascii="Times New Roman" w:hAnsi="Times New Roman" w:eastAsia="仿宋" w:cs="Times New Roman"/>
          <w:sz w:val="28"/>
          <w:szCs w:val="28"/>
          <w:bdr w:val="none" w:color="auto" w:sz="0" w:space="0"/>
        </w:rPr>
        <w:t>0%</w:t>
      </w:r>
      <w:r>
        <w:rPr>
          <w:rFonts w:hint="eastAsia" w:ascii="仿宋" w:hAnsi="仿宋" w:eastAsia="仿宋" w:cs="仿宋"/>
          <w:sz w:val="28"/>
          <w:szCs w:val="28"/>
          <w:bdr w:val="none" w:color="auto" w:sz="0" w:space="0"/>
        </w:rPr>
        <w:t>，补贴为</w:t>
      </w:r>
      <w:r>
        <w:rPr>
          <w:rFonts w:hint="default" w:ascii="Times New Roman" w:hAnsi="Times New Roman" w:eastAsia="仿宋" w:cs="Times New Roman"/>
          <w:sz w:val="28"/>
          <w:szCs w:val="28"/>
          <w:bdr w:val="none" w:color="auto" w:sz="0" w:space="0"/>
        </w:rPr>
        <w:t>6</w:t>
      </w:r>
      <w:r>
        <w:rPr>
          <w:rFonts w:hint="eastAsia" w:ascii="仿宋" w:hAnsi="仿宋" w:eastAsia="仿宋" w:cs="仿宋"/>
          <w:sz w:val="28"/>
          <w:szCs w:val="28"/>
          <w:bdr w:val="none" w:color="auto" w:sz="0" w:space="0"/>
        </w:rPr>
        <w:t>万元；评估为“不合格”等级的，不予补贴。三年（</w:t>
      </w:r>
      <w:r>
        <w:rPr>
          <w:rFonts w:hint="default" w:ascii="Times New Roman" w:hAnsi="Times New Roman" w:eastAsia="仿宋" w:cs="Times New Roman"/>
          <w:sz w:val="28"/>
          <w:szCs w:val="28"/>
          <w:bdr w:val="none" w:color="auto" w:sz="0" w:space="0"/>
        </w:rPr>
        <w:t>36</w:t>
      </w:r>
      <w:r>
        <w:rPr>
          <w:rFonts w:hint="eastAsia" w:ascii="仿宋" w:hAnsi="仿宋" w:eastAsia="仿宋" w:cs="仿宋"/>
          <w:sz w:val="28"/>
          <w:szCs w:val="28"/>
          <w:bdr w:val="none" w:color="auto" w:sz="0" w:space="0"/>
        </w:rPr>
        <w:t>个月）后，社会化运营补贴和床位运营补贴择一享受。养老机构（照料中心）转型的嵌入式机构不重复享受补贴。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13. </w:t>
      </w:r>
      <w:r>
        <w:rPr>
          <w:rFonts w:hint="eastAsia" w:ascii="楷体" w:hAnsi="楷体" w:eastAsia="楷体" w:cs="楷体"/>
          <w:sz w:val="28"/>
          <w:szCs w:val="28"/>
          <w:bdr w:val="none" w:color="auto" w:sz="0" w:space="0"/>
        </w:rPr>
        <w:t>保费补贴支持</w:t>
      </w:r>
      <w:r>
        <w:rPr>
          <w:rFonts w:hint="eastAsia" w:ascii="仿宋" w:hAnsi="仿宋" w:eastAsia="仿宋" w:cs="仿宋"/>
          <w:sz w:val="28"/>
          <w:szCs w:val="28"/>
          <w:bdr w:val="none" w:color="auto" w:sz="0" w:space="0"/>
        </w:rPr>
        <w:t>。将嵌入式机构床位纳入我市养老机构床位综合责任险范围。参照养老机构床位标准给予保费补贴，每张托老床位、家庭养老床位和日间照料床位保费比例分别按</w:t>
      </w:r>
      <w:r>
        <w:rPr>
          <w:rFonts w:hint="default" w:ascii="Times New Roman" w:hAnsi="Times New Roman" w:cs="Times New Roman"/>
          <w:sz w:val="28"/>
          <w:szCs w:val="28"/>
          <w:bdr w:val="none" w:color="auto" w:sz="0" w:space="0"/>
        </w:rPr>
        <w:t>100</w:t>
      </w:r>
      <w:r>
        <w:rPr>
          <w:rFonts w:hint="default" w:ascii="Times New Roman" w:hAnsi="Times New Roman" w:eastAsia="仿宋" w:cs="Times New Roman"/>
          <w:sz w:val="28"/>
          <w:szCs w:val="28"/>
          <w:bdr w:val="none" w:color="auto" w:sz="0" w:space="0"/>
        </w:rPr>
        <w:t>%</w:t>
      </w: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100%</w:t>
      </w:r>
      <w:r>
        <w:rPr>
          <w:rFonts w:hint="eastAsia" w:ascii="仿宋" w:hAnsi="仿宋" w:eastAsia="仿宋" w:cs="仿宋"/>
          <w:sz w:val="28"/>
          <w:szCs w:val="28"/>
          <w:bdr w:val="none" w:color="auto" w:sz="0" w:space="0"/>
        </w:rPr>
        <w:t>和</w:t>
      </w:r>
      <w:r>
        <w:rPr>
          <w:rFonts w:hint="default" w:ascii="Times New Roman" w:hAnsi="Times New Roman" w:cs="Times New Roman"/>
          <w:sz w:val="28"/>
          <w:szCs w:val="28"/>
          <w:bdr w:val="none" w:color="auto" w:sz="0" w:space="0"/>
        </w:rPr>
        <w:t>70</w:t>
      </w:r>
      <w:r>
        <w:rPr>
          <w:rFonts w:hint="default" w:ascii="Times New Roman" w:hAnsi="Times New Roman" w:eastAsia="仿宋" w:cs="Times New Roman"/>
          <w:sz w:val="28"/>
          <w:szCs w:val="28"/>
          <w:bdr w:val="none" w:color="auto" w:sz="0" w:space="0"/>
        </w:rPr>
        <w:t>%</w:t>
      </w:r>
      <w:r>
        <w:rPr>
          <w:rFonts w:hint="eastAsia" w:ascii="仿宋" w:hAnsi="仿宋" w:eastAsia="仿宋" w:cs="仿宋"/>
          <w:sz w:val="28"/>
          <w:szCs w:val="28"/>
          <w:bdr w:val="none" w:color="auto" w:sz="0" w:space="0"/>
        </w:rPr>
        <w:t>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14. </w:t>
      </w:r>
      <w:r>
        <w:rPr>
          <w:rFonts w:hint="eastAsia" w:ascii="楷体" w:hAnsi="楷体" w:eastAsia="楷体" w:cs="楷体"/>
          <w:sz w:val="28"/>
          <w:szCs w:val="28"/>
          <w:bdr w:val="none" w:color="auto" w:sz="0" w:space="0"/>
        </w:rPr>
        <w:t>公共服务支持。</w:t>
      </w:r>
      <w:r>
        <w:rPr>
          <w:rFonts w:hint="eastAsia" w:ascii="仿宋" w:hAnsi="仿宋" w:eastAsia="仿宋" w:cs="仿宋"/>
          <w:sz w:val="28"/>
          <w:szCs w:val="28"/>
          <w:bdr w:val="none" w:color="auto" w:sz="0" w:space="0"/>
        </w:rPr>
        <w:t>嵌入式机构用电、用水、用气、用热，按照居民生活价格执行。嵌入式机构符合规定条件的，可以享受增值税、企业所得税、契税、房产税、城镇土地使用税、城市基础设施配套费等方面税费优惠政策。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15. </w:t>
      </w:r>
      <w:r>
        <w:rPr>
          <w:rFonts w:hint="eastAsia" w:ascii="楷体" w:hAnsi="楷体" w:eastAsia="楷体" w:cs="楷体"/>
          <w:sz w:val="28"/>
          <w:szCs w:val="28"/>
          <w:bdr w:val="none" w:color="auto" w:sz="0" w:space="0"/>
        </w:rPr>
        <w:t>家庭养老床位补贴支持</w:t>
      </w:r>
      <w:r>
        <w:rPr>
          <w:rFonts w:hint="eastAsia" w:ascii="仿宋" w:hAnsi="仿宋" w:eastAsia="仿宋" w:cs="仿宋"/>
          <w:sz w:val="28"/>
          <w:szCs w:val="28"/>
          <w:bdr w:val="none" w:color="auto" w:sz="0" w:space="0"/>
        </w:rPr>
        <w:t>。嵌入式机构所承接</w:t>
      </w:r>
      <w:r>
        <w:rPr>
          <w:rFonts w:hint="eastAsia" w:ascii="仿宋" w:hAnsi="仿宋" w:eastAsia="仿宋" w:cs="仿宋"/>
          <w:sz w:val="28"/>
          <w:szCs w:val="28"/>
          <w:bdr w:val="none" w:color="auto" w:sz="0" w:space="0"/>
          <w:shd w:val="clear" w:fill="FFFFFF"/>
        </w:rPr>
        <w:t>家庭养老床位的补贴标准和扶持政策按相关文件执行。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黑体" w:hAnsi="宋体" w:eastAsia="黑体" w:cs="黑体"/>
          <w:sz w:val="28"/>
          <w:szCs w:val="28"/>
          <w:bdr w:val="none" w:color="auto" w:sz="0" w:space="0"/>
        </w:rPr>
        <w:t>四、长效使用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16. </w:t>
      </w:r>
      <w:r>
        <w:rPr>
          <w:rFonts w:hint="eastAsia" w:ascii="楷体" w:hAnsi="楷体" w:eastAsia="楷体" w:cs="楷体"/>
          <w:sz w:val="28"/>
          <w:szCs w:val="28"/>
          <w:bdr w:val="none" w:color="auto" w:sz="0" w:space="0"/>
        </w:rPr>
        <w:t>鼓励连锁运营</w:t>
      </w:r>
      <w:r>
        <w:rPr>
          <w:rFonts w:hint="eastAsia" w:ascii="仿宋" w:hAnsi="仿宋" w:eastAsia="仿宋" w:cs="仿宋"/>
          <w:sz w:val="28"/>
          <w:szCs w:val="28"/>
          <w:bdr w:val="none" w:color="auto" w:sz="0" w:space="0"/>
        </w:rPr>
        <w:t>。运营模式可采取单一、连锁、联营等多种方式，鼓励品牌化的嵌入式机构依法依规连锁化运营。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17. </w:t>
      </w:r>
      <w:r>
        <w:rPr>
          <w:rFonts w:hint="eastAsia" w:ascii="楷体" w:hAnsi="楷体" w:eastAsia="楷体" w:cs="楷体"/>
          <w:sz w:val="28"/>
          <w:szCs w:val="28"/>
          <w:bdr w:val="none" w:color="auto" w:sz="0" w:space="0"/>
        </w:rPr>
        <w:t>放开机构主体</w:t>
      </w:r>
      <w:r>
        <w:rPr>
          <w:rFonts w:hint="eastAsia" w:ascii="仿宋" w:hAnsi="仿宋" w:eastAsia="仿宋" w:cs="仿宋"/>
          <w:sz w:val="28"/>
          <w:szCs w:val="28"/>
          <w:bdr w:val="none" w:color="auto" w:sz="0" w:space="0"/>
        </w:rPr>
        <w:t>。进一步放开养老服务市场，开放举办、运营主体。举办主体可为街道（乡镇）、居（村）或区民政局，也可为社会力量（社会组织、企业或个人）；运营主体应为社会力量（社会组织、企业或个人）。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18. </w:t>
      </w:r>
      <w:r>
        <w:rPr>
          <w:rFonts w:hint="eastAsia" w:ascii="楷体" w:hAnsi="楷体" w:eastAsia="楷体" w:cs="楷体"/>
          <w:sz w:val="28"/>
          <w:szCs w:val="28"/>
          <w:bdr w:val="none" w:color="auto" w:sz="0" w:space="0"/>
        </w:rPr>
        <w:t>支持多点执业</w:t>
      </w:r>
      <w:r>
        <w:rPr>
          <w:rFonts w:hint="eastAsia" w:ascii="仿宋" w:hAnsi="仿宋" w:eastAsia="仿宋" w:cs="仿宋"/>
          <w:sz w:val="28"/>
          <w:szCs w:val="28"/>
          <w:bdr w:val="none" w:color="auto" w:sz="0" w:space="0"/>
        </w:rPr>
        <w:t>。营利性嵌入式机构在其登记机关辖区内增设点位时，可以向市场监管部门申报多址信息，无需办理分支机构营业执照；非营利性嵌入式机构可以依法在其登记管理机关辖区内设立多家不具法人资格的服务网点。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19. </w:t>
      </w:r>
      <w:r>
        <w:rPr>
          <w:rFonts w:hint="eastAsia" w:ascii="楷体" w:hAnsi="楷体" w:eastAsia="楷体" w:cs="楷体"/>
          <w:sz w:val="28"/>
          <w:szCs w:val="28"/>
          <w:bdr w:val="none" w:color="auto" w:sz="0" w:space="0"/>
        </w:rPr>
        <w:t>规范协议管理</w:t>
      </w:r>
      <w:r>
        <w:rPr>
          <w:rFonts w:hint="eastAsia" w:ascii="仿宋" w:hAnsi="仿宋" w:eastAsia="仿宋" w:cs="仿宋"/>
          <w:sz w:val="28"/>
          <w:szCs w:val="28"/>
          <w:bdr w:val="none" w:color="auto" w:sz="0" w:space="0"/>
        </w:rPr>
        <w:t>。嵌入式机构由街道（乡镇）、居（村）或区民政局与运营主体签订运营协议，明确权责义务，建立准入和退出机制。运营委托或招标应参照《天津市养老服务机构公建民营管理办法（试行）》（津民规〔</w:t>
      </w:r>
      <w:r>
        <w:rPr>
          <w:rFonts w:hint="default" w:ascii="Times New Roman" w:hAnsi="Times New Roman" w:eastAsia="仿宋" w:cs="Times New Roman"/>
          <w:sz w:val="28"/>
          <w:szCs w:val="28"/>
          <w:bdr w:val="none" w:color="auto" w:sz="0" w:space="0"/>
        </w:rPr>
        <w:t>2022</w:t>
      </w: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3</w:t>
      </w:r>
      <w:r>
        <w:rPr>
          <w:rFonts w:hint="eastAsia" w:ascii="仿宋" w:hAnsi="仿宋" w:eastAsia="仿宋" w:cs="仿宋"/>
          <w:sz w:val="28"/>
          <w:szCs w:val="28"/>
          <w:bdr w:val="none" w:color="auto" w:sz="0" w:space="0"/>
        </w:rPr>
        <w:t>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20. </w:t>
      </w:r>
      <w:r>
        <w:rPr>
          <w:rFonts w:hint="eastAsia" w:ascii="楷体" w:hAnsi="楷体" w:eastAsia="楷体" w:cs="楷体"/>
          <w:sz w:val="28"/>
          <w:szCs w:val="28"/>
          <w:bdr w:val="none" w:color="auto" w:sz="0" w:space="0"/>
        </w:rPr>
        <w:t>实施备案管理</w:t>
      </w:r>
      <w:r>
        <w:rPr>
          <w:rFonts w:hint="eastAsia" w:ascii="黑体" w:hAnsi="宋体" w:eastAsia="黑体" w:cs="黑体"/>
          <w:sz w:val="28"/>
          <w:szCs w:val="28"/>
          <w:bdr w:val="none" w:color="auto" w:sz="0" w:space="0"/>
        </w:rPr>
        <w:t>。</w:t>
      </w:r>
      <w:r>
        <w:rPr>
          <w:rFonts w:hint="eastAsia" w:ascii="仿宋" w:hAnsi="仿宋" w:eastAsia="仿宋" w:cs="仿宋"/>
          <w:sz w:val="28"/>
          <w:szCs w:val="28"/>
          <w:bdr w:val="none" w:color="auto" w:sz="0" w:space="0"/>
        </w:rPr>
        <w:t>参照养老机构管理办法，对嵌入式机构进行备案管理。嵌入式机构建设初期，区民政局应加强指导。建成后，其举办主体应向区民政局填报《嵌入式机构评估验收表》（附件</w:t>
      </w:r>
      <w:r>
        <w:rPr>
          <w:rFonts w:hint="default" w:ascii="Times New Roman" w:hAnsi="Times New Roman" w:cs="Times New Roman"/>
          <w:sz w:val="28"/>
          <w:szCs w:val="28"/>
          <w:bdr w:val="none" w:color="auto" w:sz="0" w:space="0"/>
        </w:rPr>
        <w:t>2</w:t>
      </w:r>
      <w:r>
        <w:rPr>
          <w:rFonts w:hint="eastAsia" w:ascii="仿宋" w:hAnsi="仿宋" w:eastAsia="仿宋" w:cs="仿宋"/>
          <w:sz w:val="28"/>
          <w:szCs w:val="28"/>
          <w:bdr w:val="none" w:color="auto" w:sz="0" w:space="0"/>
        </w:rPr>
        <w:t>），并提交相关材料。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21. </w:t>
      </w:r>
      <w:r>
        <w:rPr>
          <w:rFonts w:hint="eastAsia" w:ascii="楷体" w:hAnsi="楷体" w:eastAsia="楷体" w:cs="楷体"/>
          <w:sz w:val="28"/>
          <w:szCs w:val="28"/>
          <w:bdr w:val="none" w:color="auto" w:sz="0" w:space="0"/>
        </w:rPr>
        <w:t>鼓励康养服务。</w:t>
      </w:r>
      <w:r>
        <w:rPr>
          <w:rFonts w:hint="eastAsia" w:ascii="仿宋" w:hAnsi="仿宋" w:eastAsia="仿宋" w:cs="仿宋"/>
          <w:sz w:val="28"/>
          <w:szCs w:val="28"/>
          <w:bdr w:val="none" w:color="auto" w:sz="0" w:space="0"/>
        </w:rPr>
        <w:t>推动嵌入式机构与周边医疗机构开展签约服务，指导嵌入式机构开展医养康养服务。支持有条件的嵌入式机构内设医务室。鼓励符合条件的嵌入式机构按程序纳入我市长期护理保险定点护理机构范围。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22. </w:t>
      </w:r>
      <w:r>
        <w:rPr>
          <w:rFonts w:hint="eastAsia" w:ascii="楷体" w:hAnsi="楷体" w:eastAsia="楷体" w:cs="楷体"/>
          <w:sz w:val="28"/>
          <w:szCs w:val="28"/>
          <w:bdr w:val="none" w:color="auto" w:sz="0" w:space="0"/>
        </w:rPr>
        <w:t>实施服务评估。</w:t>
      </w:r>
      <w:r>
        <w:rPr>
          <w:rFonts w:hint="eastAsia" w:ascii="仿宋" w:hAnsi="仿宋" w:eastAsia="仿宋" w:cs="仿宋"/>
          <w:sz w:val="28"/>
          <w:szCs w:val="28"/>
          <w:bdr w:val="none" w:color="auto" w:sz="0" w:space="0"/>
        </w:rPr>
        <w:t>民政部门可委托第三方或养老服务指导中心等方式，对嵌入式机构的建设情况和运营情况进行评估。经建设评估合格的纳入嵌入式机构服务体系，市、区民政部门每年各至少组织一次运营评估。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23. </w:t>
      </w:r>
      <w:r>
        <w:rPr>
          <w:rFonts w:hint="eastAsia" w:ascii="楷体" w:hAnsi="楷体" w:eastAsia="楷体" w:cs="楷体"/>
          <w:sz w:val="28"/>
          <w:szCs w:val="28"/>
          <w:bdr w:val="none" w:color="auto" w:sz="0" w:space="0"/>
        </w:rPr>
        <w:t>一事一议制度。</w:t>
      </w:r>
      <w:r>
        <w:rPr>
          <w:rFonts w:hint="eastAsia" w:ascii="仿宋" w:hAnsi="仿宋" w:eastAsia="仿宋" w:cs="仿宋"/>
          <w:sz w:val="28"/>
          <w:szCs w:val="28"/>
          <w:bdr w:val="none" w:color="auto" w:sz="0" w:space="0"/>
        </w:rPr>
        <w:t>在嵌入式机构选址、建设、运营、管理、评估工作中遇到的堵点、难点问题，各区可依托区养老服务联席会议，采取“一事一议”方式及时予以解决。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30" w:right="0" w:firstLine="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30" w:right="0" w:firstLine="0"/>
        <w:jc w:val="both"/>
        <w:rPr>
          <w:sz w:val="28"/>
          <w:szCs w:val="28"/>
        </w:rPr>
      </w:pPr>
      <w:r>
        <w:rPr>
          <w:rFonts w:hint="eastAsia" w:ascii="仿宋" w:hAnsi="仿宋" w:eastAsia="仿宋" w:cs="仿宋"/>
          <w:sz w:val="28"/>
          <w:szCs w:val="28"/>
          <w:bdr w:val="none" w:color="auto" w:sz="0" w:space="0"/>
        </w:rPr>
        <w:t>附件：</w:t>
      </w:r>
      <w:r>
        <w:rPr>
          <w:rFonts w:hint="default" w:ascii="Times New Roman" w:hAnsi="Times New Roman" w:eastAsia="仿宋" w:cs="Times New Roman"/>
          <w:sz w:val="28"/>
          <w:szCs w:val="28"/>
          <w:bdr w:val="none" w:color="auto" w:sz="0" w:space="0"/>
        </w:rPr>
        <w:t>1.</w:t>
      </w:r>
      <w:r>
        <w:rPr>
          <w:rFonts w:hint="eastAsia" w:ascii="仿宋" w:hAnsi="仿宋" w:eastAsia="仿宋" w:cs="仿宋"/>
          <w:sz w:val="28"/>
          <w:szCs w:val="28"/>
          <w:bdr w:val="none" w:color="auto" w:sz="0" w:space="0"/>
        </w:rPr>
        <w:t>嵌入式机构执业具备资质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0"/>
        <w:jc w:val="both"/>
        <w:rPr>
          <w:sz w:val="28"/>
          <w:szCs w:val="28"/>
        </w:rPr>
      </w:pPr>
      <w:r>
        <w:rPr>
          <w:rFonts w:hint="default" w:ascii="Times New Roman" w:hAnsi="Times New Roman" w:cs="Times New Roman"/>
          <w:sz w:val="28"/>
          <w:szCs w:val="28"/>
          <w:bdr w:val="none" w:color="auto" w:sz="0" w:space="0"/>
        </w:rPr>
        <w:t>2</w:t>
      </w:r>
      <w:r>
        <w:rPr>
          <w:rFonts w:hint="default" w:ascii="Times New Roman" w:hAnsi="Times New Roman" w:eastAsia="仿宋" w:cs="Times New Roman"/>
          <w:sz w:val="28"/>
          <w:szCs w:val="28"/>
          <w:bdr w:val="none" w:color="auto" w:sz="0" w:space="0"/>
        </w:rPr>
        <w:t>.</w:t>
      </w:r>
      <w:r>
        <w:rPr>
          <w:rFonts w:hint="eastAsia" w:ascii="仿宋" w:hAnsi="仿宋" w:eastAsia="仿宋" w:cs="仿宋"/>
          <w:sz w:val="28"/>
          <w:szCs w:val="28"/>
          <w:bdr w:val="none" w:color="auto" w:sz="0" w:space="0"/>
        </w:rPr>
        <w:t>嵌入式评估验收表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sz w:val="28"/>
          <w:szCs w:val="28"/>
        </w:rPr>
      </w:pPr>
      <w:r>
        <w:rPr>
          <w:rFonts w:hint="eastAsia" w:ascii="黑体" w:hAnsi="宋体" w:eastAsia="黑体" w:cs="黑体"/>
          <w:sz w:val="28"/>
          <w:szCs w:val="28"/>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sz w:val="28"/>
          <w:szCs w:val="28"/>
        </w:rPr>
      </w:pPr>
      <w:r>
        <w:rPr>
          <w:rFonts w:hint="default" w:ascii="方正小标宋简体" w:hAnsi="方正小标宋简体" w:eastAsia="方正小标宋简体" w:cs="方正小标宋简体"/>
          <w:sz w:val="28"/>
          <w:szCs w:val="28"/>
          <w:bdr w:val="none" w:color="auto" w:sz="0" w:space="0"/>
        </w:rPr>
        <w:t>嵌入式养老服务机构执业具备资质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一、举办和运营主体应具备独立法人资质（可多点执业）；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二、企业法人营业执照或社会组织登记证书〔注册登记时，其名称不应使用“街道（乡镇）</w:t>
      </w:r>
      <w:r>
        <w:rPr>
          <w:rFonts w:hint="default" w:ascii="Times New Roman" w:hAnsi="Times New Roman" w:eastAsia="仿宋" w:cs="Times New Roman"/>
          <w:sz w:val="28"/>
          <w:szCs w:val="28"/>
          <w:bdr w:val="none" w:color="auto" w:sz="0" w:space="0"/>
        </w:rPr>
        <w:t>+</w:t>
      </w:r>
      <w:r>
        <w:rPr>
          <w:rFonts w:hint="eastAsia" w:ascii="仿宋" w:hAnsi="仿宋" w:eastAsia="仿宋" w:cs="仿宋"/>
          <w:sz w:val="28"/>
          <w:szCs w:val="28"/>
          <w:bdr w:val="none" w:color="auto" w:sz="0" w:space="0"/>
        </w:rPr>
        <w:t>综合养老服务中心”或“社区（村）名称</w:t>
      </w:r>
      <w:r>
        <w:rPr>
          <w:rFonts w:hint="default" w:ascii="Times New Roman" w:hAnsi="Times New Roman" w:cs="Times New Roman"/>
          <w:sz w:val="28"/>
          <w:szCs w:val="28"/>
          <w:bdr w:val="none" w:color="auto" w:sz="0" w:space="0"/>
        </w:rPr>
        <w:t>+</w:t>
      </w:r>
      <w:r>
        <w:rPr>
          <w:rFonts w:hint="eastAsia" w:ascii="仿宋" w:hAnsi="仿宋" w:eastAsia="仿宋" w:cs="仿宋"/>
          <w:sz w:val="28"/>
          <w:szCs w:val="28"/>
          <w:bdr w:val="none" w:color="auto" w:sz="0" w:space="0"/>
        </w:rPr>
        <w:t>居家养老服务中心”〕；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三、设置医疗卫生机构的需取得医疗机构执业许可证，设置医务室的实行备案管理；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四、运营主体和街道（乡镇）、居（村）或区民政局签署协议；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r>
        <w:rPr>
          <w:rFonts w:hint="eastAsia" w:ascii="仿宋" w:hAnsi="仿宋" w:eastAsia="仿宋" w:cs="仿宋"/>
          <w:sz w:val="28"/>
          <w:szCs w:val="28"/>
          <w:bdr w:val="none" w:color="auto" w:sz="0" w:space="0"/>
        </w:rPr>
        <w:t>五、填报《嵌入式机构评估验收表》，区民政局出具同意运营的批复意见。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sz w:val="28"/>
          <w:szCs w:val="28"/>
        </w:rPr>
      </w:pPr>
      <w:r>
        <w:rPr>
          <w:rFonts w:hint="eastAsia" w:ascii="黑体" w:hAnsi="宋体" w:eastAsia="黑体" w:cs="黑体"/>
          <w:sz w:val="28"/>
          <w:szCs w:val="28"/>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sz w:val="28"/>
          <w:szCs w:val="28"/>
        </w:rPr>
      </w:pPr>
      <w:r>
        <w:rPr>
          <w:rFonts w:hint="default" w:ascii="方正小标宋简体" w:hAnsi="方正小标宋简体" w:eastAsia="方正小标宋简体" w:cs="方正小标宋简体"/>
          <w:sz w:val="28"/>
          <w:szCs w:val="28"/>
          <w:bdr w:val="none" w:color="auto" w:sz="0" w:space="0"/>
        </w:rPr>
        <w:t>嵌入式养老服务机构评估验收表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sz w:val="28"/>
          <w:szCs w:val="28"/>
        </w:rPr>
      </w:pPr>
      <w:r>
        <w:rPr>
          <w:rFonts w:hint="default" w:ascii="Times New Roman" w:hAnsi="Times New Roman" w:cs="Times New Roman"/>
          <w:sz w:val="28"/>
          <w:szCs w:val="28"/>
          <w:bdr w:val="none" w:color="auto" w:sz="0" w:space="0"/>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0"/>
        <w:gridCol w:w="850"/>
        <w:gridCol w:w="10"/>
        <w:gridCol w:w="750"/>
        <w:gridCol w:w="580"/>
        <w:gridCol w:w="840"/>
        <w:gridCol w:w="280"/>
        <w:gridCol w:w="1420"/>
        <w:gridCol w:w="11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0" w:hRule="atLeast"/>
          <w:jc w:val="center"/>
        </w:trPr>
        <w:tc>
          <w:tcPr>
            <w:tcW w:w="560" w:type="dxa"/>
            <w:vMerge w:val="restart"/>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情况</w:t>
            </w:r>
          </w:p>
        </w:tc>
        <w:tc>
          <w:tcPr>
            <w:tcW w:w="1610" w:type="dxa"/>
            <w:gridSpan w:val="3"/>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项目名称</w:t>
            </w:r>
          </w:p>
        </w:tc>
        <w:tc>
          <w:tcPr>
            <w:tcW w:w="312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1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□区域型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□社区型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项目地址</w:t>
            </w:r>
          </w:p>
        </w:tc>
        <w:tc>
          <w:tcPr>
            <w:tcW w:w="4260" w:type="dxa"/>
            <w:gridSpan w:val="5"/>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0"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用房类型</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□新建小区配套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□商业用房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□工业用房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□其他</w:t>
            </w:r>
          </w:p>
        </w:tc>
        <w:tc>
          <w:tcPr>
            <w:tcW w:w="1700" w:type="dxa"/>
            <w:gridSpan w:val="2"/>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房屋权属</w:t>
            </w:r>
          </w:p>
        </w:tc>
        <w:tc>
          <w:tcPr>
            <w:tcW w:w="11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□自有产权房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□使用权房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□租赁房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有无房产证</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□有□无</w:t>
            </w: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是否独立建筑</w:t>
            </w:r>
          </w:p>
        </w:tc>
        <w:tc>
          <w:tcPr>
            <w:tcW w:w="11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有无独立出入口</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□有□无</w:t>
            </w: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房屋产权所属单位</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租赁期限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w:t>
            </w:r>
            <w:r>
              <w:rPr>
                <w:rFonts w:hint="default" w:ascii="Times New Roman" w:hAnsi="Times New Roman" w:eastAsia="仿宋" w:cs="Times New Roman"/>
                <w:sz w:val="28"/>
                <w:szCs w:val="28"/>
                <w:bdr w:val="none" w:color="auto" w:sz="0" w:space="0"/>
              </w:rPr>
              <w:t>5</w:t>
            </w:r>
            <w:r>
              <w:rPr>
                <w:rFonts w:hint="eastAsia" w:ascii="仿宋" w:hAnsi="仿宋" w:eastAsia="仿宋" w:cs="仿宋"/>
                <w:sz w:val="28"/>
                <w:szCs w:val="28"/>
                <w:bdr w:val="none" w:color="auto" w:sz="0" w:space="0"/>
              </w:rPr>
              <w:t>年以上）</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年</w:t>
            </w: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投资总额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（万元）</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主体</w:t>
            </w: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名称</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登记法人类型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（社会组织或企业）</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法定代表人</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营业执照</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联系人</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联系方式</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主体</w:t>
            </w: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名称</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登记法人类型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（社会组织或企业）</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法定代表人</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营业执照</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联系人</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联系方式</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运营模式</w:t>
            </w:r>
          </w:p>
        </w:tc>
        <w:tc>
          <w:tcPr>
            <w:tcW w:w="4260" w:type="dxa"/>
            <w:gridSpan w:val="5"/>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□单一式</w:t>
            </w: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□连锁式</w:t>
            </w: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□联营式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设施</w:t>
            </w: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总建筑面积（</w:t>
            </w:r>
            <w:r>
              <w:rPr>
                <w:rFonts w:hint="default" w:ascii="Times New Roman" w:hAnsi="Times New Roman" w:eastAsia="仿宋" w:cs="Times New Roman"/>
                <w:sz w:val="28"/>
                <w:szCs w:val="28"/>
                <w:bdr w:val="none" w:color="auto" w:sz="0" w:space="0"/>
              </w:rPr>
              <w:t>M</w:t>
            </w:r>
            <w:r>
              <w:rPr>
                <w:rFonts w:hint="default" w:ascii="Times New Roman" w:hAnsi="Times New Roman" w:eastAsia="仿宋" w:cs="Times New Roman"/>
                <w:sz w:val="28"/>
                <w:szCs w:val="28"/>
                <w:bdr w:val="none" w:color="auto" w:sz="0" w:space="0"/>
                <w:vertAlign w:val="superscript"/>
              </w:rPr>
              <w:t>2</w:t>
            </w:r>
            <w:r>
              <w:rPr>
                <w:rFonts w:hint="eastAsia" w:ascii="仿宋" w:hAnsi="仿宋" w:eastAsia="仿宋" w:cs="仿宋"/>
                <w:sz w:val="28"/>
                <w:szCs w:val="28"/>
                <w:bdr w:val="none" w:color="auto" w:sz="0" w:space="0"/>
              </w:rPr>
              <w:t>）</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主体建筑面积</w:t>
            </w:r>
          </w:p>
        </w:tc>
        <w:tc>
          <w:tcPr>
            <w:tcW w:w="11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总床位数（张）</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组团非主体建筑面积</w:t>
            </w: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托养区</w:t>
            </w: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日间照料区</w:t>
            </w:r>
          </w:p>
        </w:tc>
        <w:tc>
          <w:tcPr>
            <w:tcW w:w="11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多功能区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设施配备</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面积（</w:t>
            </w:r>
            <w:r>
              <w:rPr>
                <w:rFonts w:hint="default" w:ascii="Times New Roman" w:hAnsi="Times New Roman" w:eastAsia="仿宋" w:cs="Times New Roman"/>
                <w:sz w:val="28"/>
                <w:szCs w:val="28"/>
                <w:bdr w:val="none" w:color="auto" w:sz="0" w:space="0"/>
              </w:rPr>
              <w:t>M</w:t>
            </w:r>
            <w:r>
              <w:rPr>
                <w:rFonts w:hint="default" w:ascii="Times New Roman" w:hAnsi="Times New Roman" w:eastAsia="仿宋" w:cs="Times New Roman"/>
                <w:sz w:val="28"/>
                <w:szCs w:val="28"/>
                <w:bdr w:val="none" w:color="auto" w:sz="0" w:space="0"/>
                <w:vertAlign w:val="superscript"/>
              </w:rPr>
              <w:t>2</w:t>
            </w:r>
            <w:r>
              <w:rPr>
                <w:rFonts w:hint="eastAsia" w:ascii="仿宋" w:hAnsi="仿宋" w:eastAsia="仿宋" w:cs="仿宋"/>
                <w:sz w:val="28"/>
                <w:szCs w:val="28"/>
                <w:bdr w:val="none" w:color="auto" w:sz="0" w:space="0"/>
              </w:rPr>
              <w:t>）</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床位（张）</w:t>
            </w:r>
          </w:p>
        </w:tc>
        <w:tc>
          <w:tcPr>
            <w:tcW w:w="142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700" w:type="dxa"/>
            <w:gridSpan w:val="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c>
          <w:tcPr>
            <w:tcW w:w="114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智能服务平台</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rPr>
              <w:t>平台名称</w:t>
            </w:r>
          </w:p>
        </w:tc>
        <w:tc>
          <w:tcPr>
            <w:tcW w:w="2840" w:type="dxa"/>
            <w:gridSpan w:val="3"/>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rPr>
              <w:t>主要功能</w:t>
            </w:r>
          </w:p>
        </w:tc>
        <w:tc>
          <w:tcPr>
            <w:tcW w:w="2840" w:type="dxa"/>
            <w:gridSpan w:val="3"/>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功能</w:t>
            </w:r>
          </w:p>
        </w:tc>
        <w:tc>
          <w:tcPr>
            <w:tcW w:w="86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选项</w:t>
            </w:r>
          </w:p>
        </w:tc>
        <w:tc>
          <w:tcPr>
            <w:tcW w:w="133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服务功能</w:t>
            </w:r>
          </w:p>
        </w:tc>
        <w:tc>
          <w:tcPr>
            <w:tcW w:w="3680" w:type="dxa"/>
            <w:gridSpan w:val="4"/>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服务项目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必选项</w:t>
            </w: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rPr>
              <w:t>入</w:t>
            </w:r>
            <w:r>
              <w:rPr>
                <w:rFonts w:hint="eastAsia" w:ascii="仿宋" w:hAnsi="仿宋" w:eastAsia="仿宋" w:cs="仿宋"/>
                <w:sz w:val="28"/>
                <w:szCs w:val="28"/>
                <w:bdr w:val="none" w:color="auto" w:sz="0" w:space="0"/>
                <w:shd w:val="clear" w:fill="FFFFFF"/>
              </w:rPr>
              <w:t>托</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入照</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入</w:t>
            </w:r>
            <w:r>
              <w:rPr>
                <w:rFonts w:hint="eastAsia" w:ascii="仿宋" w:hAnsi="仿宋" w:eastAsia="仿宋" w:cs="仿宋"/>
                <w:sz w:val="28"/>
                <w:szCs w:val="28"/>
                <w:bdr w:val="none" w:color="auto" w:sz="0" w:space="0"/>
              </w:rPr>
              <w:t>户</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嵌餐</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嵌智</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选择项</w:t>
            </w: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嵌康</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370"/>
              <w:jc w:val="both"/>
              <w:rPr>
                <w:sz w:val="28"/>
                <w:szCs w:val="28"/>
              </w:rPr>
            </w:pPr>
            <w:r>
              <w:rPr>
                <w:rFonts w:hint="eastAsia" w:ascii="仿宋" w:hAnsi="仿宋" w:eastAsia="仿宋" w:cs="仿宋"/>
                <w:sz w:val="28"/>
                <w:szCs w:val="28"/>
                <w:bdr w:val="none" w:color="auto" w:sz="0" w:space="0"/>
                <w:shd w:val="clear" w:fill="FFFFFF"/>
              </w:rPr>
              <w:t>嵌护</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家庭养老床位</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85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33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其他特色服务</w:t>
            </w:r>
          </w:p>
        </w:tc>
        <w:tc>
          <w:tcPr>
            <w:tcW w:w="3680" w:type="dxa"/>
            <w:gridSpan w:val="4"/>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8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人员</w:t>
            </w:r>
          </w:p>
        </w:tc>
        <w:tc>
          <w:tcPr>
            <w:tcW w:w="3310" w:type="dxa"/>
            <w:gridSpan w:val="6"/>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管理人员</w:t>
            </w:r>
            <w:r>
              <w:rPr>
                <w:rFonts w:hint="default" w:ascii="Times New Roman" w:hAnsi="Times New Roman" w:eastAsia="仿宋" w:cs="Times New Roman"/>
                <w:sz w:val="28"/>
                <w:szCs w:val="28"/>
                <w:u w:val="single"/>
                <w:bdr w:val="none" w:color="auto" w:sz="0" w:space="0"/>
              </w:rPr>
              <w:t>   </w:t>
            </w:r>
            <w:r>
              <w:rPr>
                <w:rFonts w:hint="default" w:ascii="Times New Roman" w:hAnsi="Times New Roman" w:cs="Times New Roman"/>
                <w:sz w:val="28"/>
                <w:szCs w:val="28"/>
                <w:u w:val="single"/>
                <w:bdr w:val="none" w:color="auto" w:sz="0" w:space="0"/>
              </w:rPr>
              <w:t> </w:t>
            </w:r>
            <w:r>
              <w:rPr>
                <w:rFonts w:hint="eastAsia" w:ascii="仿宋" w:hAnsi="仿宋" w:eastAsia="仿宋" w:cs="仿宋"/>
                <w:sz w:val="28"/>
                <w:szCs w:val="28"/>
                <w:bdr w:val="none" w:color="auto" w:sz="0" w:space="0"/>
              </w:rPr>
              <w:t>人，养老护理员</w:t>
            </w:r>
            <w:r>
              <w:rPr>
                <w:rFonts w:hint="default" w:ascii="Times New Roman" w:hAnsi="Times New Roman" w:eastAsia="仿宋" w:cs="Times New Roman"/>
                <w:sz w:val="28"/>
                <w:szCs w:val="28"/>
                <w:u w:val="single"/>
                <w:bdr w:val="none" w:color="auto" w:sz="0" w:space="0"/>
              </w:rPr>
              <w:t>  </w:t>
            </w:r>
            <w:r>
              <w:rPr>
                <w:rFonts w:hint="default" w:ascii="Times New Roman" w:hAnsi="Times New Roman" w:cs="Times New Roman"/>
                <w:sz w:val="28"/>
                <w:szCs w:val="28"/>
                <w:u w:val="single"/>
                <w:bdr w:val="none" w:color="auto" w:sz="0" w:space="0"/>
              </w:rPr>
              <w:t> </w:t>
            </w:r>
            <w:r>
              <w:rPr>
                <w:rFonts w:hint="default" w:ascii="Times New Roman" w:hAnsi="Times New Roman" w:eastAsia="仿宋" w:cs="Times New Roman"/>
                <w:sz w:val="28"/>
                <w:szCs w:val="28"/>
                <w:u w:val="single"/>
                <w:bdr w:val="none" w:color="auto" w:sz="0" w:space="0"/>
              </w:rPr>
              <w:t> </w:t>
            </w:r>
            <w:r>
              <w:rPr>
                <w:rFonts w:hint="eastAsia" w:ascii="仿宋" w:hAnsi="仿宋" w:eastAsia="仿宋" w:cs="仿宋"/>
                <w:sz w:val="28"/>
                <w:szCs w:val="28"/>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医疗（照护）技术人员</w:t>
            </w:r>
            <w:r>
              <w:rPr>
                <w:rFonts w:hint="default" w:ascii="Times New Roman" w:hAnsi="Times New Roman" w:eastAsia="仿宋" w:cs="Times New Roman"/>
                <w:sz w:val="28"/>
                <w:szCs w:val="28"/>
                <w:u w:val="single"/>
                <w:bdr w:val="none" w:color="auto" w:sz="0" w:space="0"/>
              </w:rPr>
              <w:t>   </w:t>
            </w:r>
            <w:r>
              <w:rPr>
                <w:rFonts w:hint="default" w:ascii="Times New Roman" w:hAnsi="Times New Roman" w:cs="Times New Roman"/>
                <w:sz w:val="28"/>
                <w:szCs w:val="28"/>
                <w:u w:val="single"/>
                <w:bdr w:val="none" w:color="auto" w:sz="0" w:space="0"/>
              </w:rPr>
              <w:t> </w:t>
            </w:r>
            <w:r>
              <w:rPr>
                <w:rFonts w:hint="eastAsia" w:ascii="仿宋" w:hAnsi="仿宋" w:eastAsia="仿宋" w:cs="仿宋"/>
                <w:sz w:val="28"/>
                <w:szCs w:val="28"/>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eastAsia" w:ascii="仿宋" w:hAnsi="仿宋" w:eastAsia="仿宋" w:cs="仿宋"/>
                <w:sz w:val="28"/>
                <w:szCs w:val="28"/>
                <w:bdr w:val="none" w:color="auto" w:sz="0" w:space="0"/>
              </w:rPr>
              <w:t>其他人</w:t>
            </w:r>
            <w:r>
              <w:rPr>
                <w:rFonts w:hint="default" w:ascii="Times New Roman" w:hAnsi="Times New Roman" w:eastAsia="仿宋" w:cs="Times New Roman"/>
                <w:sz w:val="28"/>
                <w:szCs w:val="28"/>
                <w:u w:val="single"/>
                <w:bdr w:val="none" w:color="auto" w:sz="0" w:space="0"/>
              </w:rPr>
              <w:t> </w:t>
            </w:r>
            <w:r>
              <w:rPr>
                <w:rFonts w:hint="default" w:ascii="Times New Roman" w:hAnsi="Times New Roman" w:cs="Times New Roman"/>
                <w:sz w:val="28"/>
                <w:szCs w:val="28"/>
                <w:u w:val="single"/>
                <w:bdr w:val="none" w:color="auto" w:sz="0" w:space="0"/>
              </w:rPr>
              <w:t>   </w:t>
            </w:r>
            <w:r>
              <w:rPr>
                <w:rFonts w:hint="eastAsia" w:ascii="仿宋" w:hAnsi="仿宋" w:eastAsia="仿宋" w:cs="仿宋"/>
                <w:sz w:val="28"/>
                <w:szCs w:val="28"/>
                <w:bdr w:val="none" w:color="auto" w:sz="0" w:space="0"/>
              </w:rPr>
              <w:t>人</w:t>
            </w:r>
          </w:p>
        </w:tc>
        <w:tc>
          <w:tcPr>
            <w:tcW w:w="256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持证上岗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3310" w:type="dxa"/>
            <w:gridSpan w:val="6"/>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256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740"/>
              <w:jc w:val="both"/>
              <w:rPr>
                <w:sz w:val="28"/>
                <w:szCs w:val="28"/>
              </w:rPr>
            </w:pPr>
            <w:r>
              <w:rPr>
                <w:rFonts w:hint="eastAsia" w:ascii="仿宋" w:hAnsi="仿宋" w:eastAsia="仿宋" w:cs="仿宋"/>
                <w:sz w:val="28"/>
                <w:szCs w:val="28"/>
                <w:bdr w:val="none" w:color="auto" w:sz="0" w:space="0"/>
              </w:rPr>
              <w:t>□是□否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消防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设计审查验收</w:t>
            </w: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default" w:ascii="Times New Roman" w:hAnsi="Times New Roman" w:eastAsia="仿宋" w:cs="Times New Roman"/>
                <w:sz w:val="28"/>
                <w:szCs w:val="28"/>
                <w:bdr w:val="none" w:color="auto" w:sz="0" w:space="0"/>
                <w:shd w:val="clear" w:fill="FFFFFF"/>
              </w:rPr>
              <w:t>1</w:t>
            </w:r>
            <w:r>
              <w:rPr>
                <w:rFonts w:hint="default" w:ascii="Times New Roman" w:hAnsi="Times New Roman" w:cs="Times New Roman"/>
                <w:sz w:val="28"/>
                <w:szCs w:val="28"/>
                <w:bdr w:val="none" w:color="auto" w:sz="0" w:space="0"/>
                <w:shd w:val="clear" w:fill="FFFFFF"/>
              </w:rPr>
              <w:t>000</w:t>
            </w:r>
            <w:r>
              <w:rPr>
                <w:rFonts w:hint="default" w:ascii="Times New Roman" w:hAnsi="Times New Roman" w:eastAsia="仿宋" w:cs="Times New Roman"/>
                <w:sz w:val="28"/>
                <w:szCs w:val="28"/>
                <w:bdr w:val="none" w:color="auto" w:sz="0" w:space="0"/>
                <w:shd w:val="clear" w:fill="FFFFFF"/>
              </w:rPr>
              <w:t>M</w:t>
            </w:r>
            <w:r>
              <w:rPr>
                <w:rFonts w:hint="default" w:ascii="Times New Roman" w:hAnsi="Times New Roman" w:eastAsia="仿宋" w:cs="Times New Roman"/>
                <w:sz w:val="28"/>
                <w:szCs w:val="28"/>
                <w:bdr w:val="none" w:color="auto" w:sz="0" w:space="0"/>
                <w:shd w:val="clear" w:fill="FFFFFF"/>
                <w:vertAlign w:val="superscript"/>
              </w:rPr>
              <w:t>2</w:t>
            </w:r>
            <w:r>
              <w:rPr>
                <w:rFonts w:hint="eastAsia" w:ascii="仿宋" w:hAnsi="仿宋" w:eastAsia="仿宋" w:cs="仿宋"/>
                <w:sz w:val="28"/>
                <w:szCs w:val="28"/>
                <w:bdr w:val="none" w:color="auto" w:sz="0" w:space="0"/>
                <w:shd w:val="clear" w:fill="FFFFFF"/>
              </w:rPr>
              <w:t>以上</w:t>
            </w:r>
          </w:p>
        </w:tc>
        <w:tc>
          <w:tcPr>
            <w:tcW w:w="4260" w:type="dxa"/>
            <w:gridSpan w:val="5"/>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□建设工程消防设计审查验收报告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小于等于</w:t>
            </w:r>
            <w:r>
              <w:rPr>
                <w:rFonts w:hint="default" w:ascii="Times New Roman" w:hAnsi="Times New Roman" w:eastAsia="仿宋" w:cs="Times New Roman"/>
                <w:sz w:val="28"/>
                <w:szCs w:val="28"/>
                <w:bdr w:val="none" w:color="auto" w:sz="0" w:space="0"/>
                <w:shd w:val="clear" w:fill="FFFFFF"/>
              </w:rPr>
              <w:t>1000 M</w:t>
            </w:r>
            <w:r>
              <w:rPr>
                <w:rFonts w:hint="default" w:ascii="Times New Roman" w:hAnsi="Times New Roman" w:eastAsia="仿宋" w:cs="Times New Roman"/>
                <w:sz w:val="28"/>
                <w:szCs w:val="28"/>
                <w:bdr w:val="none" w:color="auto" w:sz="0" w:space="0"/>
                <w:shd w:val="clear" w:fill="FFFFFF"/>
                <w:vertAlign w:val="superscript"/>
              </w:rPr>
              <w:t>2</w:t>
            </w:r>
          </w:p>
        </w:tc>
        <w:tc>
          <w:tcPr>
            <w:tcW w:w="4260" w:type="dxa"/>
            <w:gridSpan w:val="5"/>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shd w:val="clear" w:fill="FFFFFF"/>
              </w:rPr>
              <w:t>□建设工程消防备案凭证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0" w:hRule="atLeast"/>
          <w:jc w:val="center"/>
        </w:trPr>
        <w:tc>
          <w:tcPr>
            <w:tcW w:w="560"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其他</w:t>
            </w: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无障碍设施</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w:t>
            </w:r>
          </w:p>
        </w:tc>
        <w:tc>
          <w:tcPr>
            <w:tcW w:w="1700" w:type="dxa"/>
            <w:gridSpan w:val="2"/>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适老化改造</w:t>
            </w:r>
          </w:p>
        </w:tc>
        <w:tc>
          <w:tcPr>
            <w:tcW w:w="1140" w:type="dxa"/>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0" w:hRule="atLeast"/>
          <w:jc w:val="center"/>
        </w:trPr>
        <w:tc>
          <w:tcPr>
            <w:tcW w:w="560"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8"/>
                <w:szCs w:val="28"/>
              </w:rPr>
            </w:pPr>
          </w:p>
        </w:tc>
        <w:tc>
          <w:tcPr>
            <w:tcW w:w="1610" w:type="dxa"/>
            <w:gridSpan w:val="3"/>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紧急呼叫</w:t>
            </w:r>
          </w:p>
        </w:tc>
        <w:tc>
          <w:tcPr>
            <w:tcW w:w="142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w:t>
            </w:r>
          </w:p>
        </w:tc>
        <w:tc>
          <w:tcPr>
            <w:tcW w:w="1700" w:type="dxa"/>
            <w:gridSpan w:val="2"/>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卫生消毒</w:t>
            </w:r>
          </w:p>
        </w:tc>
        <w:tc>
          <w:tcPr>
            <w:tcW w:w="114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□是□否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80" w:hRule="atLeast"/>
          <w:jc w:val="center"/>
        </w:trPr>
        <w:tc>
          <w:tcPr>
            <w:tcW w:w="56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承诺</w:t>
            </w:r>
          </w:p>
        </w:tc>
        <w:tc>
          <w:tcPr>
            <w:tcW w:w="5860" w:type="dxa"/>
            <w:gridSpan w:val="8"/>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both"/>
              <w:rPr>
                <w:sz w:val="28"/>
                <w:szCs w:val="28"/>
              </w:rPr>
            </w:pPr>
            <w:r>
              <w:rPr>
                <w:rFonts w:hint="default" w:ascii="Times New Roman" w:hAnsi="Times New Roman" w:eastAsia="仿宋" w:cs="Times New Roman"/>
                <w:sz w:val="28"/>
                <w:szCs w:val="28"/>
                <w:bdr w:val="none" w:color="auto" w:sz="0" w:space="0"/>
              </w:rPr>
              <w:t>  </w:t>
            </w:r>
            <w:r>
              <w:rPr>
                <w:rFonts w:hint="default" w:ascii="Times New Roman" w:hAnsi="Times New Roman" w:cs="Times New Roman"/>
                <w:sz w:val="28"/>
                <w:szCs w:val="28"/>
                <w:bdr w:val="none" w:color="auto" w:sz="0" w:space="0"/>
              </w:rPr>
              <w:t> </w:t>
            </w: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本人（单位）保证提交的材料内容真实，如有虚假，愿承担由此造成的法律后果。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举办单位：（签名</w:t>
            </w:r>
            <w:r>
              <w:rPr>
                <w:rFonts w:hint="default" w:ascii="Times New Roman" w:hAnsi="Times New Roman" w:eastAsia="仿宋" w:cs="Times New Roman"/>
                <w:sz w:val="28"/>
                <w:szCs w:val="28"/>
                <w:bdr w:val="none" w:color="auto" w:sz="0" w:space="0"/>
              </w:rPr>
              <w:t>/</w:t>
            </w:r>
            <w:r>
              <w:rPr>
                <w:rFonts w:hint="eastAsia" w:ascii="仿宋" w:hAnsi="仿宋" w:eastAsia="仿宋" w:cs="仿宋"/>
                <w:sz w:val="28"/>
                <w:szCs w:val="28"/>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default" w:ascii="Times New Roman" w:hAnsi="Times New Roman" w:eastAsia="仿宋" w:cs="Times New Roman"/>
                <w:sz w:val="28"/>
                <w:szCs w:val="28"/>
                <w:bdr w:val="none" w:color="auto" w:sz="0" w:space="0"/>
              </w:rPr>
              <w:t> </w:t>
            </w:r>
            <w:r>
              <w:rPr>
                <w:rFonts w:hint="default" w:ascii="Times New Roman" w:hAnsi="Times New Roman" w:cs="Times New Roman"/>
                <w:sz w:val="28"/>
                <w:szCs w:val="28"/>
                <w:bdr w:val="none" w:color="auto" w:sz="0" w:space="0"/>
              </w:rPr>
              <w:t>              </w:t>
            </w:r>
            <w:r>
              <w:rPr>
                <w:rFonts w:hint="eastAsia" w:ascii="仿宋" w:hAnsi="仿宋" w:eastAsia="仿宋" w:cs="仿宋"/>
                <w:sz w:val="28"/>
                <w:szCs w:val="28"/>
                <w:bdr w:val="none" w:color="auto" w:sz="0" w:space="0"/>
              </w:rPr>
              <w:t>年 </w:t>
            </w: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月 </w:t>
            </w:r>
            <w:r>
              <w:rPr>
                <w:rFonts w:hint="default" w:ascii="Times New Roman" w:hAnsi="Times New Roman" w:eastAsia="仿宋" w:cs="Times New Roman"/>
                <w:sz w:val="28"/>
                <w:szCs w:val="28"/>
                <w:bdr w:val="none" w:color="auto" w:sz="0" w:space="0"/>
              </w:rPr>
              <w:t> </w:t>
            </w:r>
            <w:r>
              <w:rPr>
                <w:rFonts w:hint="eastAsia" w:ascii="仿宋" w:hAnsi="仿宋" w:eastAsia="仿宋" w:cs="仿宋"/>
                <w:sz w:val="28"/>
                <w:szCs w:val="28"/>
                <w:bdr w:val="none" w:color="auto" w:sz="0" w:space="0"/>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56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街道（乡镇）意见</w:t>
            </w:r>
          </w:p>
        </w:tc>
        <w:tc>
          <w:tcPr>
            <w:tcW w:w="5860" w:type="dxa"/>
            <w:gridSpan w:val="8"/>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00" w:hRule="atLeast"/>
          <w:jc w:val="center"/>
        </w:trPr>
        <w:tc>
          <w:tcPr>
            <w:tcW w:w="560"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firstLine="0"/>
              <w:jc w:val="center"/>
              <w:rPr>
                <w:sz w:val="28"/>
                <w:szCs w:val="28"/>
              </w:rPr>
            </w:pPr>
            <w:r>
              <w:rPr>
                <w:rFonts w:hint="eastAsia" w:ascii="仿宋" w:hAnsi="仿宋" w:eastAsia="仿宋" w:cs="仿宋"/>
                <w:sz w:val="28"/>
                <w:szCs w:val="28"/>
                <w:bdr w:val="none" w:color="auto" w:sz="0" w:space="0"/>
              </w:rPr>
              <w:t>区民政局意见</w:t>
            </w:r>
          </w:p>
        </w:tc>
        <w:tc>
          <w:tcPr>
            <w:tcW w:w="5860" w:type="dxa"/>
            <w:gridSpan w:val="8"/>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trPr>
        <w:tc>
          <w:tcPr>
            <w:tcW w:w="5910" w:type="dxa"/>
            <w:tcBorders>
              <w:top w:val="single" w:color="auto" w:sz="4" w:space="0"/>
              <w:left w:val="nil"/>
              <w:bottom w:val="single" w:color="auto" w:sz="4" w:space="0"/>
              <w:right w:val="nil"/>
            </w:tcBorders>
            <w:shd w:val="clear"/>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90"/>
              <w:jc w:val="both"/>
              <w:rPr>
                <w:sz w:val="28"/>
                <w:szCs w:val="28"/>
              </w:rPr>
            </w:pPr>
            <w:r>
              <w:rPr>
                <w:rFonts w:hint="eastAsia" w:ascii="仿宋" w:hAnsi="仿宋" w:eastAsia="仿宋" w:cs="仿宋"/>
                <w:sz w:val="28"/>
                <w:szCs w:val="28"/>
                <w:bdr w:val="none" w:color="auto" w:sz="0" w:space="0"/>
              </w:rPr>
              <w:t>天津市民政局办公室</w:t>
            </w:r>
            <w:r>
              <w:rPr>
                <w:rFonts w:hint="default" w:ascii="Calibri" w:hAnsi="Calibri" w:cs="Calibri"/>
                <w:sz w:val="28"/>
                <w:szCs w:val="28"/>
                <w:bdr w:val="none" w:color="auto" w:sz="0" w:space="0"/>
              </w:rPr>
              <w:t>                        </w:t>
            </w:r>
            <w:r>
              <w:rPr>
                <w:rFonts w:hint="default" w:ascii="Times New Roman" w:hAnsi="Times New Roman" w:cs="Times New Roman"/>
                <w:sz w:val="28"/>
                <w:szCs w:val="28"/>
                <w:bdr w:val="none" w:color="auto" w:sz="0" w:space="0"/>
              </w:rPr>
              <w:t>2022</w:t>
            </w:r>
            <w:r>
              <w:rPr>
                <w:rFonts w:hint="eastAsia" w:ascii="仿宋" w:hAnsi="仿宋" w:eastAsia="仿宋" w:cs="仿宋"/>
                <w:sz w:val="28"/>
                <w:szCs w:val="28"/>
                <w:bdr w:val="none" w:color="auto" w:sz="0" w:space="0"/>
              </w:rPr>
              <w:t>年</w:t>
            </w:r>
            <w:r>
              <w:rPr>
                <w:rFonts w:hint="default" w:ascii="Times New Roman" w:hAnsi="Times New Roman" w:cs="Times New Roman"/>
                <w:sz w:val="28"/>
                <w:szCs w:val="28"/>
                <w:bdr w:val="none" w:color="auto" w:sz="0" w:space="0"/>
              </w:rPr>
              <w:t>11</w:t>
            </w:r>
            <w:r>
              <w:rPr>
                <w:rFonts w:hint="eastAsia" w:ascii="仿宋" w:hAnsi="仿宋" w:eastAsia="仿宋" w:cs="仿宋"/>
                <w:sz w:val="28"/>
                <w:szCs w:val="28"/>
                <w:bdr w:val="none" w:color="auto" w:sz="0" w:space="0"/>
              </w:rPr>
              <w:t>月</w:t>
            </w:r>
            <w:r>
              <w:rPr>
                <w:rFonts w:hint="default" w:ascii="Times New Roman" w:hAnsi="Times New Roman" w:cs="Times New Roman"/>
                <w:sz w:val="28"/>
                <w:szCs w:val="28"/>
                <w:bdr w:val="none" w:color="auto" w:sz="0" w:space="0"/>
              </w:rPr>
              <w:t>1</w:t>
            </w:r>
            <w:r>
              <w:rPr>
                <w:rFonts w:hint="eastAsia" w:ascii="仿宋" w:hAnsi="仿宋" w:eastAsia="仿宋" w:cs="仿宋"/>
                <w:sz w:val="28"/>
                <w:szCs w:val="28"/>
                <w:bdr w:val="none" w:color="auto" w:sz="0" w:space="0"/>
              </w:rPr>
              <w:t>日印发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firstLine="420"/>
        <w:jc w:val="both"/>
        <w:rPr>
          <w:sz w:val="28"/>
          <w:szCs w:val="28"/>
        </w:rPr>
      </w:pPr>
      <w:r>
        <w:rPr>
          <w:rFonts w:hint="default" w:ascii="Times New Roman" w:hAnsi="Times New Roman" w:cs="Times New Roman"/>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38C6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34</Characters>
  <Lines>0</Lines>
  <Paragraphs>0</Paragraphs>
  <TotalTime>0</TotalTime>
  <ScaleCrop>false</ScaleCrop>
  <LinksUpToDate>false</LinksUpToDate>
  <CharactersWithSpaces>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2023-06-26T12:09:33Z</dcterms:created>
  <dc:creator>1</dc:creator>
  <cp:lastModifiedBy>sai</cp:lastModifiedBy>
  <dcterms:modified xsi:type="dcterms:W3CDTF">2023-06-26T12:10:31Z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85954A00A439462C8E1CC54811C4A032_12</vt:lpwstr>
  </property>
</Properties>
</file>