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天津市民政局 天津市财政局关于调居家养老服务（护理）补贴发放方式的通知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0"/>
        <w:jc w:val="both"/>
        <w:rPr>
          <w:rFonts w:hint="default" w:ascii="Times New Roman" w:hAnsi="Times New Roman" w:cs="Times New Roman"/>
          <w:i w:val="0"/>
          <w:iCs w:val="0"/>
          <w:caps w:val="0"/>
          <w:color w:val="3D3D3D"/>
          <w:spacing w:val="0"/>
          <w:sz w:val="28"/>
          <w:szCs w:val="28"/>
        </w:rPr>
      </w:pPr>
      <w:r>
        <w:rPr>
          <w:rFonts w:ascii="仿宋" w:hAnsi="仿宋" w:eastAsia="仿宋" w:cs="仿宋"/>
          <w:i w:val="0"/>
          <w:iCs w:val="0"/>
          <w:caps w:val="0"/>
          <w:color w:val="3D3D3D"/>
          <w:spacing w:val="0"/>
          <w:kern w:val="0"/>
          <w:sz w:val="28"/>
          <w:szCs w:val="28"/>
          <w:bdr w:val="none" w:color="auto" w:sz="0" w:space="0"/>
          <w:shd w:val="clear" w:fill="FFFFFF"/>
          <w:lang w:val="en-US" w:eastAsia="zh-CN" w:bidi="ar"/>
        </w:rPr>
        <w:t>各区民政局、财政局：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82"/>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为适应我市户籍制度改革要求，解决“人户分离”老年人无法享受居家养老服务的问题，增加老年人可支配收入，满足多样化、自主化养老需求，根据财政部</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民政部</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全国老龄办《关于建立健全经济困难的高龄失能等老年人补贴制度的通知》（财社〔</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2014</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113</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号）和我市增加城镇常住居民人均可支配收入工作的总体要求，经研究，决定调整我市居家养老服务（护理）补贴发放方式。现将有关事项通知如下：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ascii="黑体" w:hAnsi="宋体" w:eastAsia="黑体" w:cs="黑体"/>
          <w:i w:val="0"/>
          <w:iCs w:val="0"/>
          <w:caps w:val="0"/>
          <w:color w:val="3D3D3D"/>
          <w:spacing w:val="0"/>
          <w:kern w:val="0"/>
          <w:sz w:val="28"/>
          <w:szCs w:val="28"/>
          <w:bdr w:val="none" w:color="auto" w:sz="0" w:space="0"/>
          <w:shd w:val="clear" w:fill="FFFFFF"/>
          <w:lang w:val="en-US" w:eastAsia="zh-CN" w:bidi="ar"/>
        </w:rPr>
        <w:t>一、发放形式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82"/>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居家养老服务（护理）补贴发放形式由养老服务券改为现金，采取社会化方式按月发放。可通过银行、信用社等代理金融机构，也可依托社会保障卡、惠农资金“一卡通”等方式将补贴资金转存到补贴对象账户中，由补贴对象自行领取。将补贴资金存放入指定代理金融机构的，一般应采取竞争性方式或集体决策方式确定，且代理金融机构不得以任何形式向补贴对象收取账户管理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82"/>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具体方式由各区民政局、财政局根据实际情况自行确定。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二、调整时间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82"/>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自</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2017</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12</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月起，调整为现金方式发放。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三、资金来源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按照事权与支出责任相匹配的原则，居家养老服务（护理）补贴资金由各区财政负担，市财政给予</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50%</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转移支付补助。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27"/>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四、拨付程序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市级补助资金采取提前下达和年终结算方式拨付。市民政局于每年</w:t>
      </w:r>
      <w:r>
        <w:rPr>
          <w:rFonts w:hint="default" w:ascii="Times New Roman" w:hAnsi="Times New Roman" w:cs="Times New Roman"/>
          <w:i w:val="0"/>
          <w:iCs w:val="0"/>
          <w:caps w:val="0"/>
          <w:color w:val="3D3D3D"/>
          <w:spacing w:val="0"/>
          <w:sz w:val="28"/>
          <w:szCs w:val="28"/>
          <w:bdr w:val="none" w:color="auto" w:sz="0" w:space="0"/>
          <w:shd w:val="clear" w:fill="FFFFFF"/>
        </w:rPr>
        <w:t>10</w:t>
      </w:r>
      <w:r>
        <w:rPr>
          <w:rFonts w:hint="eastAsia" w:ascii="仿宋" w:hAnsi="仿宋" w:eastAsia="仿宋" w:cs="仿宋"/>
          <w:i w:val="0"/>
          <w:iCs w:val="0"/>
          <w:caps w:val="0"/>
          <w:color w:val="3D3D3D"/>
          <w:spacing w:val="0"/>
          <w:sz w:val="28"/>
          <w:szCs w:val="28"/>
          <w:bdr w:val="none" w:color="auto" w:sz="0" w:space="0"/>
          <w:shd w:val="clear" w:fill="FFFFFF"/>
        </w:rPr>
        <w:t>月</w:t>
      </w:r>
      <w:r>
        <w:rPr>
          <w:rFonts w:hint="default" w:ascii="Times New Roman" w:hAnsi="Times New Roman" w:cs="Times New Roman"/>
          <w:i w:val="0"/>
          <w:iCs w:val="0"/>
          <w:caps w:val="0"/>
          <w:color w:val="3D3D3D"/>
          <w:spacing w:val="0"/>
          <w:sz w:val="28"/>
          <w:szCs w:val="28"/>
          <w:bdr w:val="none" w:color="auto" w:sz="0" w:space="0"/>
          <w:shd w:val="clear" w:fill="FFFFFF"/>
        </w:rPr>
        <w:t>31</w:t>
      </w:r>
      <w:r>
        <w:rPr>
          <w:rFonts w:hint="eastAsia" w:ascii="仿宋" w:hAnsi="仿宋" w:eastAsia="仿宋" w:cs="仿宋"/>
          <w:i w:val="0"/>
          <w:iCs w:val="0"/>
          <w:caps w:val="0"/>
          <w:color w:val="3D3D3D"/>
          <w:spacing w:val="0"/>
          <w:sz w:val="28"/>
          <w:szCs w:val="28"/>
          <w:bdr w:val="none" w:color="auto" w:sz="0" w:space="0"/>
          <w:shd w:val="clear" w:fill="FFFFFF"/>
        </w:rPr>
        <w:t>日前提出下年度资金分配意见。市财政局、市民政局根据资金分配意见，按比例将下年度补助资金提前下达各区财政局、民政局。市民政局于次年年底前提出资金结算方案。市区两级财政局、民政局根据资金结算方案，进行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各区财政局收到市级补助资金后，应将其与本级财政安排的资金统筹使用，根据区民政局提出的资金使用申请，将资金拨付发放部门。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ascii="楷体" w:hAnsi="楷体" w:eastAsia="楷体" w:cs="楷体"/>
          <w:i w:val="0"/>
          <w:iCs w:val="0"/>
          <w:caps w:val="0"/>
          <w:color w:val="3D3D3D"/>
          <w:spacing w:val="0"/>
          <w:sz w:val="28"/>
          <w:szCs w:val="28"/>
          <w:bdr w:val="none" w:color="auto" w:sz="0" w:space="0"/>
          <w:shd w:val="clear" w:fill="FFFFFF"/>
        </w:rPr>
        <w:t>（一）加强组织领导。</w:t>
      </w:r>
      <w:r>
        <w:rPr>
          <w:rFonts w:hint="eastAsia" w:ascii="仿宋" w:hAnsi="仿宋" w:eastAsia="仿宋" w:cs="仿宋"/>
          <w:i w:val="0"/>
          <w:iCs w:val="0"/>
          <w:caps w:val="0"/>
          <w:color w:val="3D3D3D"/>
          <w:spacing w:val="0"/>
          <w:sz w:val="28"/>
          <w:szCs w:val="28"/>
          <w:bdr w:val="none" w:color="auto" w:sz="0" w:space="0"/>
          <w:shd w:val="clear" w:fill="FFFFFF"/>
        </w:rPr>
        <w:t>各区民政局要制定具体工作措施，严格做好补贴资格审定工作。老年人照料等级评估可参照《老年人能力评估》（</w:t>
      </w:r>
      <w:r>
        <w:rPr>
          <w:rFonts w:hint="default" w:ascii="Times New Roman" w:hAnsi="Times New Roman" w:cs="Times New Roman"/>
          <w:i w:val="0"/>
          <w:iCs w:val="0"/>
          <w:caps w:val="0"/>
          <w:color w:val="3D3D3D"/>
          <w:spacing w:val="0"/>
          <w:sz w:val="28"/>
          <w:szCs w:val="28"/>
          <w:bdr w:val="none" w:color="auto" w:sz="0" w:space="0"/>
          <w:shd w:val="clear" w:fill="FFFFFF"/>
        </w:rPr>
        <w:t>MZ/T039</w:t>
      </w:r>
      <w:r>
        <w:rPr>
          <w:rFonts w:hint="eastAsia" w:ascii="仿宋" w:hAnsi="仿宋" w:eastAsia="仿宋" w:cs="仿宋"/>
          <w:i w:val="0"/>
          <w:iCs w:val="0"/>
          <w:caps w:val="0"/>
          <w:color w:val="3D3D3D"/>
          <w:spacing w:val="0"/>
          <w:sz w:val="28"/>
          <w:szCs w:val="28"/>
          <w:bdr w:val="none" w:color="auto" w:sz="0" w:space="0"/>
          <w:shd w:val="clear" w:fill="FFFFFF"/>
        </w:rPr>
        <w:t>—</w:t>
      </w:r>
      <w:r>
        <w:rPr>
          <w:rFonts w:hint="default" w:ascii="Times New Roman" w:hAnsi="Times New Roman" w:cs="Times New Roman"/>
          <w:i w:val="0"/>
          <w:iCs w:val="0"/>
          <w:caps w:val="0"/>
          <w:color w:val="3D3D3D"/>
          <w:spacing w:val="0"/>
          <w:sz w:val="28"/>
          <w:szCs w:val="28"/>
          <w:bdr w:val="none" w:color="auto" w:sz="0" w:space="0"/>
          <w:shd w:val="clear" w:fill="FFFFFF"/>
        </w:rPr>
        <w:t>2013</w:t>
      </w:r>
      <w:r>
        <w:rPr>
          <w:rFonts w:hint="eastAsia" w:ascii="仿宋" w:hAnsi="仿宋" w:eastAsia="仿宋" w:cs="仿宋"/>
          <w:i w:val="0"/>
          <w:iCs w:val="0"/>
          <w:caps w:val="0"/>
          <w:color w:val="3D3D3D"/>
          <w:spacing w:val="0"/>
          <w:sz w:val="28"/>
          <w:szCs w:val="28"/>
          <w:bdr w:val="none" w:color="auto" w:sz="0" w:space="0"/>
          <w:shd w:val="clear" w:fill="FFFFFF"/>
        </w:rPr>
        <w:t>）相关评估标准进行，也可通过政府购买服务方式开展，确保实现“由券变现”的平稳过渡。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（二）加强人员保障。</w:t>
      </w:r>
      <w:r>
        <w:rPr>
          <w:rFonts w:hint="eastAsia" w:ascii="仿宋" w:hAnsi="仿宋" w:eastAsia="仿宋" w:cs="仿宋"/>
          <w:i w:val="0"/>
          <w:iCs w:val="0"/>
          <w:caps w:val="0"/>
          <w:color w:val="3D3D3D"/>
          <w:spacing w:val="0"/>
          <w:sz w:val="28"/>
          <w:szCs w:val="28"/>
          <w:bdr w:val="none" w:color="auto" w:sz="0" w:space="0"/>
          <w:shd w:val="clear" w:fill="FFFFFF"/>
        </w:rPr>
        <w:t>各区民政局要完善相应工作机制和制度，依托街道乡镇和社区，指定专人做好补贴发放工作。现有工作人员不足的，可鼓励社会力量承担相关工作。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（三）加强资金保障。</w:t>
      </w:r>
      <w:r>
        <w:rPr>
          <w:rFonts w:hint="eastAsia" w:ascii="仿宋" w:hAnsi="仿宋" w:eastAsia="仿宋" w:cs="仿宋"/>
          <w:i w:val="0"/>
          <w:iCs w:val="0"/>
          <w:caps w:val="0"/>
          <w:color w:val="3D3D3D"/>
          <w:spacing w:val="0"/>
          <w:sz w:val="28"/>
          <w:szCs w:val="28"/>
          <w:bdr w:val="none" w:color="auto" w:sz="0" w:space="0"/>
          <w:shd w:val="clear" w:fill="FFFFFF"/>
        </w:rPr>
        <w:t>各区财政局要加强资金保障，按规定足额安排区级补贴资金，并安排必要的工作经费，用于民政部门开展老年人照料等级评估、政策宣传等工作。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（四）加强服务保障。</w:t>
      </w:r>
      <w:r>
        <w:rPr>
          <w:rFonts w:hint="eastAsia" w:ascii="仿宋" w:hAnsi="仿宋" w:eastAsia="仿宋" w:cs="仿宋"/>
          <w:i w:val="0"/>
          <w:iCs w:val="0"/>
          <w:caps w:val="0"/>
          <w:color w:val="3D3D3D"/>
          <w:spacing w:val="0"/>
          <w:sz w:val="28"/>
          <w:szCs w:val="28"/>
          <w:bdr w:val="none" w:color="auto" w:sz="0" w:space="0"/>
          <w:shd w:val="clear" w:fill="FFFFFF"/>
        </w:rPr>
        <w:t>各区民政局要向补贴对象提供本区域内从事居家养老服务的社会组织、老年日间照料中心、企业等名录和养老服务内容清单，方便补贴对象自主选择购买居家养老服务。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（五）加强信息化管理。</w:t>
      </w:r>
      <w:r>
        <w:rPr>
          <w:rFonts w:hint="eastAsia" w:ascii="仿宋" w:hAnsi="仿宋" w:eastAsia="仿宋" w:cs="仿宋"/>
          <w:i w:val="0"/>
          <w:iCs w:val="0"/>
          <w:caps w:val="0"/>
          <w:color w:val="3D3D3D"/>
          <w:spacing w:val="0"/>
          <w:sz w:val="28"/>
          <w:szCs w:val="28"/>
          <w:bdr w:val="none" w:color="auto" w:sz="0" w:space="0"/>
          <w:shd w:val="clear" w:fill="FFFFFF"/>
        </w:rPr>
        <w:t>各区民政局要完善养老服务信息化建设，依托本级居家养老信息平台，加强补贴发放和管理，并做好与市级信息平台的数据对接。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（六）加强监督检查。</w:t>
      </w:r>
      <w:r>
        <w:rPr>
          <w:rFonts w:hint="eastAsia" w:ascii="仿宋" w:hAnsi="仿宋" w:eastAsia="仿宋" w:cs="仿宋"/>
          <w:i w:val="0"/>
          <w:iCs w:val="0"/>
          <w:caps w:val="0"/>
          <w:color w:val="3D3D3D"/>
          <w:spacing w:val="0"/>
          <w:sz w:val="28"/>
          <w:szCs w:val="28"/>
          <w:bdr w:val="none" w:color="auto" w:sz="0" w:space="0"/>
          <w:shd w:val="clear" w:fill="FFFFFF"/>
        </w:rPr>
        <w:t>各区民政、财政局要加强监督，建立事前事中事后相结合、日常监督和重点抽查相结合的监管机制，确保补贴政策落实到位。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80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80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80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天津市民政局</w:t>
      </w:r>
      <w:r>
        <w:rPr>
          <w:rFonts w:hint="default" w:ascii="Times New Roman" w:hAnsi="Times New Roman" w:cs="Times New Roman"/>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天津市财政局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i w:val="0"/>
          <w:iCs w:val="0"/>
          <w:caps w:val="0"/>
          <w:color w:val="3D3D3D"/>
          <w:spacing w:val="0"/>
          <w:sz w:val="28"/>
          <w:szCs w:val="28"/>
          <w:bdr w:val="none" w:color="auto" w:sz="0" w:space="0"/>
          <w:shd w:val="clear" w:fill="FFFFFF"/>
        </w:rPr>
        <w:t>                              2017</w:t>
      </w:r>
      <w:r>
        <w:rPr>
          <w:rFonts w:hint="eastAsia" w:ascii="仿宋" w:hAnsi="仿宋" w:eastAsia="仿宋" w:cs="仿宋"/>
          <w:i w:val="0"/>
          <w:iCs w:val="0"/>
          <w:caps w:val="0"/>
          <w:color w:val="3D3D3D"/>
          <w:spacing w:val="0"/>
          <w:sz w:val="28"/>
          <w:szCs w:val="28"/>
          <w:bdr w:val="none" w:color="auto" w:sz="0" w:space="0"/>
          <w:shd w:val="clear" w:fill="FFFFFF"/>
        </w:rPr>
        <w:t>年</w:t>
      </w:r>
      <w:r>
        <w:rPr>
          <w:rFonts w:hint="default" w:ascii="Times New Roman" w:hAnsi="Times New Roman" w:cs="Times New Roman"/>
          <w:i w:val="0"/>
          <w:iCs w:val="0"/>
          <w:caps w:val="0"/>
          <w:color w:val="3D3D3D"/>
          <w:spacing w:val="0"/>
          <w:sz w:val="28"/>
          <w:szCs w:val="28"/>
          <w:bdr w:val="none" w:color="auto" w:sz="0" w:space="0"/>
          <w:shd w:val="clear" w:fill="FFFFFF"/>
        </w:rPr>
        <w:t>11</w:t>
      </w:r>
      <w:r>
        <w:rPr>
          <w:rFonts w:hint="eastAsia" w:ascii="仿宋" w:hAnsi="仿宋" w:eastAsia="仿宋" w:cs="仿宋"/>
          <w:i w:val="0"/>
          <w:iCs w:val="0"/>
          <w:caps w:val="0"/>
          <w:color w:val="3D3D3D"/>
          <w:spacing w:val="0"/>
          <w:sz w:val="28"/>
          <w:szCs w:val="28"/>
          <w:bdr w:val="none" w:color="auto" w:sz="0" w:space="0"/>
          <w:shd w:val="clear" w:fill="FFFFFF"/>
        </w:rPr>
        <w:t>月</w:t>
      </w:r>
      <w:r>
        <w:rPr>
          <w:rFonts w:hint="default" w:ascii="Times New Roman" w:hAnsi="Times New Roman" w:cs="Times New Roman"/>
          <w:i w:val="0"/>
          <w:iCs w:val="0"/>
          <w:caps w:val="0"/>
          <w:color w:val="3D3D3D"/>
          <w:spacing w:val="0"/>
          <w:sz w:val="28"/>
          <w:szCs w:val="28"/>
          <w:bdr w:val="none" w:color="auto" w:sz="0" w:space="0"/>
          <w:shd w:val="clear" w:fill="FFFFFF"/>
        </w:rPr>
        <w:t>8</w:t>
      </w:r>
      <w:r>
        <w:rPr>
          <w:rFonts w:hint="eastAsia" w:ascii="仿宋" w:hAnsi="仿宋" w:eastAsia="仿宋" w:cs="仿宋"/>
          <w:i w:val="0"/>
          <w:iCs w:val="0"/>
          <w:caps w:val="0"/>
          <w:color w:val="3D3D3D"/>
          <w:spacing w:val="0"/>
          <w:sz w:val="28"/>
          <w:szCs w:val="28"/>
          <w:bdr w:val="none" w:color="auto" w:sz="0" w:space="0"/>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69D1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Words>
  <Characters>34</Characters>
  <Lines>0</Lines>
  <Paragraphs>0</Paragraphs>
  <TotalTime>0</TotalTime>
  <ScaleCrop>false</ScaleCrop>
  <LinksUpToDate>false</LinksUpToDate>
  <CharactersWithSpaces>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2023-06-26T13:31:20Z</dcterms:created>
  <dc:creator>1</dc:creator>
  <cp:lastModifiedBy>sai</cp:lastModifiedBy>
  <dcterms:modified xsi:type="dcterms:W3CDTF">2023-06-26T13:31:52Z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1D84E1F1AC8E443096E57FFF561EAAAA_12</vt:lpwstr>
  </property>
</Properties>
</file>